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R5-255911</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CR-Form-v12.4</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3555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5"/>
                <w:rFonts w:cs="Arial"/>
                <w:i/>
              </w:rPr>
              <w:t>https://www.3gpp.org/Change-Requests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R19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 Nokia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NR_lic_bands_BW_R19-UEConTest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2025-11-06</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Some R1</w:t>
            </w:r>
            <w:r>
              <w:rPr>
                <w:rFonts w:hint="eastAsia" w:eastAsia="宋体"/>
                <w:lang w:val="en-US" w:eastAsia="zh-CN"/>
              </w:rPr>
              <w:t>9</w:t>
            </w:r>
            <w:r>
              <w:t xml:space="preserve"> new bands and CBWs which are already 100% completed in RAN4 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Addition of band n87 and n88 into Table 5.2-1, Table 5.3.5-1, Table 5.4.2.3-1, Table 5.4.3.3-2 and Table 5.4.4-1.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activated new </w:t>
            </w:r>
            <w:r>
              <w:rPr>
                <w:rFonts w:hint="eastAsia" w:eastAsia="宋体"/>
                <w:lang w:val="en-US" w:eastAsia="zh-CN"/>
              </w:rPr>
              <w:t xml:space="preserve">bands </w:t>
            </w:r>
            <w:r>
              <w:t>configurations in clause 5 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5.2, 5.3.5, 5.4.2.3, 5.4.3.3, 5.4.4</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pPr>
      <w:r>
        <w:t>==============First change==============</w:t>
      </w:r>
    </w:p>
    <w:p>
      <w:pPr>
        <w:pStyle w:val="3"/>
      </w:pPr>
      <w:bookmarkStart w:id="1" w:name="_Toc69309680"/>
      <w:bookmarkStart w:id="2" w:name="_Toc44323675"/>
      <w:bookmarkStart w:id="3" w:name="_Toc52989816"/>
      <w:bookmarkStart w:id="4" w:name="_Toc36226420"/>
      <w:bookmarkStart w:id="5" w:name="_Toc60823005"/>
      <w:bookmarkStart w:id="6" w:name="_Toc60824928"/>
      <w:bookmarkStart w:id="7" w:name="_Toc90917268"/>
      <w:bookmarkStart w:id="8" w:name="_Toc90916315"/>
      <w:bookmarkStart w:id="9" w:name="_Toc83720461"/>
      <w:bookmarkStart w:id="10" w:name="_Toc27477741"/>
      <w:bookmarkStart w:id="11" w:name="_Toc76019991"/>
      <w:bookmarkStart w:id="12" w:name="_Toc69305825"/>
      <w:bookmarkStart w:id="13" w:name="_Toc90916512"/>
      <w:r>
        <w:t>5.2</w:t>
      </w:r>
      <w:r>
        <w:tab/>
      </w:r>
      <w:r>
        <w:t>Operating bands</w:t>
      </w:r>
      <w:bookmarkEnd w:id="1"/>
      <w:bookmarkEnd w:id="2"/>
      <w:bookmarkEnd w:id="3"/>
      <w:bookmarkEnd w:id="4"/>
      <w:bookmarkEnd w:id="5"/>
      <w:bookmarkEnd w:id="6"/>
      <w:bookmarkEnd w:id="7"/>
      <w:bookmarkEnd w:id="8"/>
      <w:bookmarkEnd w:id="9"/>
      <w:bookmarkEnd w:id="10"/>
      <w:bookmarkEnd w:id="11"/>
      <w:bookmarkEnd w:id="12"/>
      <w:bookmarkEnd w:id="13"/>
    </w:p>
    <w:p>
      <w:r>
        <w:t>NR is designed to operate in the FR1 operating bands defined in Table 5.2-1.</w:t>
      </w:r>
    </w:p>
    <w:p>
      <w:pPr>
        <w:pStyle w:val="55"/>
      </w:pPr>
      <w:r>
        <w:t>Table 5.2-1: NR operating bands in FR1</w:t>
      </w:r>
    </w:p>
    <w:tbl>
      <w:tblPr>
        <w:tblStyle w:val="42"/>
        <w:tblW w:w="7740" w:type="dxa"/>
        <w:jc w:val="center"/>
        <w:tblLayout w:type="fixed"/>
        <w:tblCellMar>
          <w:top w:w="0" w:type="dxa"/>
          <w:left w:w="108" w:type="dxa"/>
          <w:bottom w:w="0" w:type="dxa"/>
          <w:right w:w="108" w:type="dxa"/>
        </w:tblCellMar>
      </w:tblPr>
      <w:tblGrid>
        <w:gridCol w:w="1162"/>
        <w:gridCol w:w="2716"/>
        <w:gridCol w:w="2954"/>
        <w:gridCol w:w="908"/>
      </w:tblGrid>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1"/>
            </w:pPr>
            <w:r>
              <w:t>NR operating band</w:t>
            </w:r>
          </w:p>
        </w:tc>
        <w:tc>
          <w:tcPr>
            <w:tcW w:w="2716" w:type="dxa"/>
            <w:tcBorders>
              <w:top w:val="single" w:color="auto" w:sz="4" w:space="0"/>
              <w:left w:val="single" w:color="auto" w:sz="4" w:space="0"/>
              <w:bottom w:val="single" w:color="auto" w:sz="4" w:space="0"/>
              <w:right w:val="single" w:color="auto" w:sz="4" w:space="0"/>
            </w:tcBorders>
          </w:tcPr>
          <w:p>
            <w:pPr>
              <w:pStyle w:val="51"/>
            </w:pPr>
            <w:r>
              <w:t xml:space="preserve">Uplink (UL) </w:t>
            </w:r>
            <w:r>
              <w:rPr>
                <w:i/>
              </w:rPr>
              <w:t>operating band</w:t>
            </w:r>
            <w:r>
              <w:br w:type="textWrapping"/>
            </w:r>
            <w:r>
              <w:t>BS receive / UE transmit</w:t>
            </w:r>
          </w:p>
          <w:p>
            <w:pPr>
              <w:pStyle w:val="51"/>
              <w:rPr>
                <w:vertAlign w:val="subscript"/>
              </w:rPr>
            </w:pPr>
            <w:r>
              <w:t>F</w:t>
            </w:r>
            <w:r>
              <w:rPr>
                <w:vertAlign w:val="subscript"/>
              </w:rPr>
              <w:t xml:space="preserve">UL_low </w:t>
            </w:r>
            <w:r>
              <w:t>– F</w:t>
            </w:r>
            <w:r>
              <w:rPr>
                <w:vertAlign w:val="subscript"/>
              </w:rPr>
              <w:t>UL_high</w:t>
            </w:r>
          </w:p>
        </w:tc>
        <w:tc>
          <w:tcPr>
            <w:tcW w:w="2954" w:type="dxa"/>
            <w:tcBorders>
              <w:top w:val="single" w:color="auto" w:sz="4" w:space="0"/>
              <w:left w:val="single" w:color="auto" w:sz="4" w:space="0"/>
              <w:bottom w:val="single" w:color="auto" w:sz="4" w:space="0"/>
              <w:right w:val="single" w:color="auto" w:sz="4" w:space="0"/>
            </w:tcBorders>
          </w:tcPr>
          <w:p>
            <w:pPr>
              <w:pStyle w:val="51"/>
            </w:pPr>
            <w:r>
              <w:t xml:space="preserve">Downlink (DL) </w:t>
            </w:r>
            <w:r>
              <w:rPr>
                <w:i/>
              </w:rPr>
              <w:t>operating band</w:t>
            </w:r>
            <w:r>
              <w:br w:type="textWrapping"/>
            </w:r>
            <w:r>
              <w:t>BS transmit / UE receive</w:t>
            </w:r>
          </w:p>
          <w:p>
            <w:pPr>
              <w:pStyle w:val="51"/>
            </w:pPr>
            <w:r>
              <w:t>F</w:t>
            </w:r>
            <w:r>
              <w:rPr>
                <w:vertAlign w:val="subscript"/>
              </w:rPr>
              <w:t>DL_low</w:t>
            </w:r>
            <w:r>
              <w:t xml:space="preserve"> – F</w:t>
            </w:r>
            <w:r>
              <w:rPr>
                <w:vertAlign w:val="subscript"/>
              </w:rPr>
              <w:t>DL_high</w:t>
            </w:r>
          </w:p>
        </w:tc>
        <w:tc>
          <w:tcPr>
            <w:tcW w:w="908" w:type="dxa"/>
            <w:tcBorders>
              <w:top w:val="single" w:color="auto" w:sz="4" w:space="0"/>
              <w:left w:val="single" w:color="auto" w:sz="4" w:space="0"/>
              <w:bottom w:val="nil"/>
              <w:right w:val="single" w:color="auto" w:sz="4" w:space="0"/>
            </w:tcBorders>
          </w:tcPr>
          <w:p>
            <w:pPr>
              <w:pStyle w:val="51"/>
            </w:pPr>
            <w:r>
              <w:t>Duplex Mode</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2170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1805 MHz – 1880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w:t>
            </w:r>
          </w:p>
        </w:tc>
        <w:tc>
          <w:tcPr>
            <w:tcW w:w="2716" w:type="dxa"/>
            <w:tcBorders>
              <w:top w:val="single" w:color="auto" w:sz="4" w:space="0"/>
              <w:left w:val="single" w:color="auto" w:sz="4" w:space="0"/>
              <w:bottom w:val="single" w:color="auto" w:sz="4" w:space="0"/>
              <w:right w:val="single" w:color="auto" w:sz="4" w:space="0"/>
            </w:tcBorders>
          </w:tcPr>
          <w:p>
            <w:pPr>
              <w:pStyle w:val="52"/>
            </w:pPr>
            <w:r>
              <w:t>824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869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w:t>
            </w:r>
          </w:p>
        </w:tc>
        <w:tc>
          <w:tcPr>
            <w:tcW w:w="2716" w:type="dxa"/>
            <w:tcBorders>
              <w:top w:val="single" w:color="auto" w:sz="4" w:space="0"/>
              <w:left w:val="single" w:color="auto" w:sz="4" w:space="0"/>
              <w:bottom w:val="single" w:color="auto" w:sz="4" w:space="0"/>
              <w:right w:val="single" w:color="auto" w:sz="4" w:space="0"/>
            </w:tcBorders>
          </w:tcPr>
          <w:p>
            <w:pPr>
              <w:pStyle w:val="52"/>
            </w:pPr>
            <w:r>
              <w:t>2500 MHz – 2570 MHz</w:t>
            </w:r>
          </w:p>
        </w:tc>
        <w:tc>
          <w:tcPr>
            <w:tcW w:w="2954" w:type="dxa"/>
            <w:tcBorders>
              <w:top w:val="single" w:color="auto" w:sz="4" w:space="0"/>
              <w:left w:val="single" w:color="auto" w:sz="4" w:space="0"/>
              <w:bottom w:val="single" w:color="auto" w:sz="4" w:space="0"/>
              <w:right w:val="single" w:color="auto" w:sz="4" w:space="0"/>
            </w:tcBorders>
          </w:tcPr>
          <w:p>
            <w:pPr>
              <w:pStyle w:val="52"/>
            </w:pPr>
            <w:r>
              <w:t>2620 MHz – 2690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925 MHz – 960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n12</w:t>
            </w:r>
          </w:p>
        </w:tc>
        <w:tc>
          <w:tcPr>
            <w:tcW w:w="2716" w:type="dxa"/>
            <w:tcBorders>
              <w:top w:val="single" w:color="auto" w:sz="4" w:space="0"/>
              <w:left w:val="single" w:color="auto" w:sz="4" w:space="0"/>
              <w:bottom w:val="single" w:color="auto" w:sz="4" w:space="0"/>
              <w:right w:val="single" w:color="auto" w:sz="4" w:space="0"/>
            </w:tcBorders>
          </w:tcPr>
          <w:p>
            <w:pPr>
              <w:pStyle w:val="52"/>
            </w:pPr>
            <w:r>
              <w:t>699 MHz – 716 MHz</w:t>
            </w:r>
          </w:p>
        </w:tc>
        <w:tc>
          <w:tcPr>
            <w:tcW w:w="2954" w:type="dxa"/>
            <w:tcBorders>
              <w:top w:val="single" w:color="auto" w:sz="4" w:space="0"/>
              <w:left w:val="single" w:color="auto" w:sz="4" w:space="0"/>
              <w:bottom w:val="single" w:color="auto" w:sz="4" w:space="0"/>
              <w:right w:val="single" w:color="auto" w:sz="4" w:space="0"/>
            </w:tcBorders>
          </w:tcPr>
          <w:p>
            <w:pPr>
              <w:pStyle w:val="52"/>
            </w:pPr>
            <w:r>
              <w:t>729 MHz – 746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rPr>
                <w:rFonts w:cs="Arial"/>
              </w:rPr>
              <w:t>n13</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777 MHz – 787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746 MHz – 756 MHz</w:t>
            </w:r>
          </w:p>
        </w:tc>
        <w:tc>
          <w:tcPr>
            <w:tcW w:w="908" w:type="dxa"/>
            <w:tcBorders>
              <w:top w:val="single" w:color="auto" w:sz="4" w:space="0"/>
              <w:left w:val="single" w:color="auto" w:sz="4" w:space="0"/>
              <w:bottom w:val="nil"/>
              <w:right w:val="single" w:color="auto" w:sz="4" w:space="0"/>
            </w:tcBorders>
          </w:tcPr>
          <w:p>
            <w:pPr>
              <w:pStyle w:val="52"/>
            </w:pPr>
            <w:r>
              <w:rPr>
                <w:rFonts w:cs="Arial"/>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n14</w:t>
            </w:r>
          </w:p>
        </w:tc>
        <w:tc>
          <w:tcPr>
            <w:tcW w:w="271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788 MHz – 798 MHz</w:t>
            </w:r>
          </w:p>
        </w:tc>
        <w:tc>
          <w:tcPr>
            <w:tcW w:w="2954"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758 MHz – 768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en-US"/>
              </w:rPr>
            </w:pPr>
            <w:r>
              <w:rPr>
                <w:rFonts w:eastAsia="宋体"/>
                <w:lang w:eastAsia="en-US"/>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n20</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791 MHz – 821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n24</w:t>
            </w:r>
            <w:r>
              <w:rPr>
                <w:vertAlign w:val="superscript"/>
              </w:rPr>
              <w:t>16</w:t>
            </w:r>
          </w:p>
        </w:tc>
        <w:tc>
          <w:tcPr>
            <w:tcW w:w="2716" w:type="dxa"/>
            <w:tcBorders>
              <w:top w:val="single" w:color="auto" w:sz="4" w:space="0"/>
              <w:left w:val="single" w:color="auto" w:sz="4" w:space="0"/>
              <w:bottom w:val="single" w:color="auto" w:sz="4" w:space="0"/>
              <w:right w:val="single" w:color="auto" w:sz="4" w:space="0"/>
            </w:tcBorders>
          </w:tcPr>
          <w:p>
            <w:pPr>
              <w:pStyle w:val="52"/>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1525 MHz – 1559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n25</w:t>
            </w:r>
          </w:p>
        </w:tc>
        <w:tc>
          <w:tcPr>
            <w:tcW w:w="2716" w:type="dxa"/>
            <w:tcBorders>
              <w:top w:val="single" w:color="auto" w:sz="4" w:space="0"/>
              <w:left w:val="single" w:color="auto" w:sz="4" w:space="0"/>
              <w:bottom w:val="single" w:color="auto" w:sz="4" w:space="0"/>
              <w:right w:val="single" w:color="auto" w:sz="4" w:space="0"/>
            </w:tcBorders>
          </w:tcPr>
          <w:p>
            <w:pPr>
              <w:pStyle w:val="52"/>
            </w:pPr>
            <w:r>
              <w:t>1850 MHz – 1915 MHz</w:t>
            </w:r>
          </w:p>
        </w:tc>
        <w:tc>
          <w:tcPr>
            <w:tcW w:w="2954" w:type="dxa"/>
            <w:tcBorders>
              <w:top w:val="single" w:color="auto" w:sz="4" w:space="0"/>
              <w:left w:val="single" w:color="auto" w:sz="4" w:space="0"/>
              <w:bottom w:val="single" w:color="auto" w:sz="4" w:space="0"/>
              <w:right w:val="single" w:color="auto" w:sz="4" w:space="0"/>
            </w:tcBorders>
          </w:tcPr>
          <w:p>
            <w:pPr>
              <w:pStyle w:val="52"/>
            </w:pPr>
            <w:r>
              <w:t>1930 MHz – 1995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n26</w:t>
            </w:r>
          </w:p>
        </w:tc>
        <w:tc>
          <w:tcPr>
            <w:tcW w:w="2716" w:type="dxa"/>
            <w:tcBorders>
              <w:top w:val="single" w:color="auto" w:sz="4" w:space="0"/>
              <w:left w:val="single" w:color="auto" w:sz="4" w:space="0"/>
              <w:bottom w:val="single" w:color="auto" w:sz="4" w:space="0"/>
              <w:right w:val="single" w:color="auto" w:sz="4" w:space="0"/>
            </w:tcBorders>
          </w:tcPr>
          <w:p>
            <w:pPr>
              <w:pStyle w:val="52"/>
            </w:pPr>
            <w:r>
              <w:t>814 MHz – 849 MHz</w:t>
            </w:r>
          </w:p>
        </w:tc>
        <w:tc>
          <w:tcPr>
            <w:tcW w:w="2954" w:type="dxa"/>
            <w:tcBorders>
              <w:top w:val="single" w:color="auto" w:sz="4" w:space="0"/>
              <w:left w:val="single" w:color="auto" w:sz="4" w:space="0"/>
              <w:bottom w:val="single" w:color="auto" w:sz="4" w:space="0"/>
              <w:right w:val="single" w:color="auto" w:sz="4" w:space="0"/>
            </w:tcBorders>
          </w:tcPr>
          <w:p>
            <w:pPr>
              <w:pStyle w:val="52"/>
            </w:pPr>
            <w:r>
              <w:t>859 MHz – 894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n28</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758 MHz – 803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n29</w:t>
            </w:r>
            <w:r>
              <w:rPr>
                <w:rFonts w:eastAsia="宋体"/>
                <w:vertAlign w:val="superscript"/>
                <w:lang w:eastAsia="zh-CN"/>
              </w:rPr>
              <w:t>19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717 MHz – 728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n30</w:t>
            </w:r>
            <w:r>
              <w:rPr>
                <w:vertAlign w:val="superscript"/>
              </w:rPr>
              <w:t>3</w:t>
            </w:r>
          </w:p>
        </w:tc>
        <w:tc>
          <w:tcPr>
            <w:tcW w:w="2716" w:type="dxa"/>
            <w:tcBorders>
              <w:top w:val="single" w:color="auto" w:sz="4" w:space="0"/>
              <w:left w:val="single" w:color="auto" w:sz="4" w:space="0"/>
              <w:bottom w:val="single" w:color="auto" w:sz="4" w:space="0"/>
              <w:right w:val="single" w:color="auto" w:sz="4" w:space="0"/>
            </w:tcBorders>
          </w:tcPr>
          <w:p>
            <w:pPr>
              <w:pStyle w:val="52"/>
            </w:pPr>
            <w:r>
              <w:t>2305 Mhz – 2315 MHz</w:t>
            </w:r>
          </w:p>
        </w:tc>
        <w:tc>
          <w:tcPr>
            <w:tcW w:w="2954" w:type="dxa"/>
            <w:tcBorders>
              <w:top w:val="single" w:color="auto" w:sz="4" w:space="0"/>
              <w:left w:val="single" w:color="auto" w:sz="4" w:space="0"/>
              <w:bottom w:val="single" w:color="auto" w:sz="4" w:space="0"/>
              <w:right w:val="single" w:color="auto" w:sz="4" w:space="0"/>
            </w:tcBorders>
          </w:tcPr>
          <w:p>
            <w:pPr>
              <w:pStyle w:val="52"/>
            </w:pPr>
            <w:r>
              <w:t>2350 MHz – 2360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n31</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452.5 MHz</w:t>
            </w:r>
            <w:r>
              <w:t xml:space="preserve"> – 457.5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lang w:eastAsia="zh-CN"/>
              </w:rPr>
              <w:t xml:space="preserve">462.5 MHz </w:t>
            </w:r>
            <w:r>
              <w:t xml:space="preserve">– </w:t>
            </w:r>
            <w:r>
              <w:rPr>
                <w:rFonts w:cs="Arial"/>
                <w:lang w:eastAsia="zh-CN"/>
              </w:rPr>
              <w:t>467.5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n34</w:t>
            </w:r>
          </w:p>
        </w:tc>
        <w:tc>
          <w:tcPr>
            <w:tcW w:w="2716"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2954" w:type="dxa"/>
            <w:tcBorders>
              <w:top w:val="single" w:color="auto" w:sz="4" w:space="0"/>
              <w:left w:val="single" w:color="auto" w:sz="4" w:space="0"/>
              <w:bottom w:val="single" w:color="auto" w:sz="4" w:space="0"/>
              <w:right w:val="single" w:color="auto" w:sz="4" w:space="0"/>
            </w:tcBorders>
          </w:tcPr>
          <w:p>
            <w:pPr>
              <w:pStyle w:val="52"/>
            </w:pPr>
            <w:r>
              <w:t>2010 MHz – 2025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n38</w:t>
            </w:r>
            <w:r>
              <w:rPr>
                <w:vertAlign w:val="superscript"/>
              </w:rPr>
              <w:t>10</w:t>
            </w:r>
          </w:p>
        </w:tc>
        <w:tc>
          <w:tcPr>
            <w:tcW w:w="2716"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2954" w:type="dxa"/>
            <w:tcBorders>
              <w:top w:val="single" w:color="auto" w:sz="4" w:space="0"/>
              <w:left w:val="single" w:color="auto" w:sz="4" w:space="0"/>
              <w:bottom w:val="single" w:color="auto" w:sz="4" w:space="0"/>
              <w:right w:val="single" w:color="auto" w:sz="4" w:space="0"/>
            </w:tcBorders>
          </w:tcPr>
          <w:p>
            <w:pPr>
              <w:pStyle w:val="52"/>
            </w:pPr>
            <w:r>
              <w:t>2570 MHz – 2620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n39</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n40</w:t>
            </w:r>
          </w:p>
        </w:tc>
        <w:tc>
          <w:tcPr>
            <w:tcW w:w="2716"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2300 MHz – 2400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n41</w:t>
            </w:r>
          </w:p>
        </w:tc>
        <w:tc>
          <w:tcPr>
            <w:tcW w:w="2716"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2954" w:type="dxa"/>
            <w:tcBorders>
              <w:top w:val="single" w:color="auto" w:sz="4" w:space="0"/>
              <w:left w:val="single" w:color="auto" w:sz="4" w:space="0"/>
              <w:bottom w:val="single" w:color="auto" w:sz="4" w:space="0"/>
              <w:right w:val="single" w:color="auto" w:sz="4" w:space="0"/>
            </w:tcBorders>
          </w:tcPr>
          <w:p>
            <w:pPr>
              <w:pStyle w:val="52"/>
            </w:pPr>
            <w:r>
              <w:t>2496 MHz – 2690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n46</w:t>
            </w:r>
            <w:r>
              <w:rPr>
                <w:vertAlign w:val="superscript"/>
              </w:rPr>
              <w:t>13</w:t>
            </w:r>
          </w:p>
        </w:tc>
        <w:tc>
          <w:tcPr>
            <w:tcW w:w="2716"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5150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n47</w:t>
            </w:r>
            <w:r>
              <w:rPr>
                <w:rFonts w:eastAsia="Malgun Gothic"/>
                <w:vertAlign w:val="superscript"/>
              </w:rPr>
              <w:t>11</w:t>
            </w:r>
          </w:p>
        </w:tc>
        <w:tc>
          <w:tcPr>
            <w:tcW w:w="2716"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2954" w:type="dxa"/>
            <w:tcBorders>
              <w:top w:val="single" w:color="auto" w:sz="4" w:space="0"/>
              <w:left w:val="single" w:color="auto" w:sz="4" w:space="0"/>
              <w:bottom w:val="single" w:color="auto" w:sz="4" w:space="0"/>
              <w:right w:val="single" w:color="auto" w:sz="4" w:space="0"/>
            </w:tcBorders>
          </w:tcPr>
          <w:p>
            <w:pPr>
              <w:pStyle w:val="52"/>
            </w:pPr>
            <w:r>
              <w:t>5855 MHz – 5925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n48</w:t>
            </w:r>
          </w:p>
        </w:tc>
        <w:tc>
          <w:tcPr>
            <w:tcW w:w="2716"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2954" w:type="dxa"/>
            <w:tcBorders>
              <w:top w:val="single" w:color="auto" w:sz="4" w:space="0"/>
              <w:left w:val="single" w:color="auto" w:sz="4" w:space="0"/>
              <w:bottom w:val="single" w:color="auto" w:sz="4" w:space="0"/>
              <w:right w:val="single" w:color="auto" w:sz="4" w:space="0"/>
            </w:tcBorders>
          </w:tcPr>
          <w:p>
            <w:pPr>
              <w:pStyle w:val="52"/>
            </w:pPr>
            <w:r>
              <w:t>3550 MHz – 3700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n50</w:t>
            </w:r>
            <w:r>
              <w:rPr>
                <w:rFonts w:cs="Arial"/>
                <w:vertAlign w:val="superscript"/>
              </w:rPr>
              <w:t>1</w:t>
            </w:r>
          </w:p>
        </w:tc>
        <w:tc>
          <w:tcPr>
            <w:tcW w:w="2716"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n51</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n53</w:t>
            </w:r>
          </w:p>
        </w:tc>
        <w:tc>
          <w:tcPr>
            <w:tcW w:w="2716"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2954" w:type="dxa"/>
            <w:tcBorders>
              <w:top w:val="single" w:color="auto" w:sz="4" w:space="0"/>
              <w:left w:val="single" w:color="auto" w:sz="4" w:space="0"/>
              <w:bottom w:val="single" w:color="auto" w:sz="4" w:space="0"/>
              <w:right w:val="single" w:color="auto" w:sz="4" w:space="0"/>
            </w:tcBorders>
          </w:tcPr>
          <w:p>
            <w:pPr>
              <w:pStyle w:val="52"/>
            </w:pPr>
            <w:r>
              <w:t>2483.5 MHz – 2495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n54</w:t>
            </w:r>
          </w:p>
        </w:tc>
        <w:tc>
          <w:tcPr>
            <w:tcW w:w="2716" w:type="dxa"/>
            <w:tcBorders>
              <w:top w:val="single" w:color="auto" w:sz="4" w:space="0"/>
              <w:left w:val="single" w:color="auto" w:sz="4" w:space="0"/>
              <w:bottom w:val="single" w:color="auto" w:sz="4" w:space="0"/>
              <w:right w:val="single" w:color="auto" w:sz="4" w:space="0"/>
            </w:tcBorders>
          </w:tcPr>
          <w:p>
            <w:pPr>
              <w:pStyle w:val="52"/>
            </w:pPr>
            <w:r>
              <w:t>1</w:t>
            </w:r>
            <w:r>
              <w:rPr>
                <w:lang w:eastAsia="zh-CN"/>
              </w:rPr>
              <w:t>6</w:t>
            </w:r>
            <w:r>
              <w:t>7</w:t>
            </w:r>
            <w:r>
              <w:rPr>
                <w:lang w:eastAsia="zh-CN"/>
              </w:rPr>
              <w:t>0</w:t>
            </w:r>
            <w:r>
              <w:t xml:space="preserve"> MHz – 1</w:t>
            </w:r>
            <w:r>
              <w:rPr>
                <w:lang w:eastAsia="zh-CN"/>
              </w:rPr>
              <w:t>675</w:t>
            </w:r>
            <w: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t>1</w:t>
            </w:r>
            <w:r>
              <w:rPr>
                <w:lang w:eastAsia="zh-CN"/>
              </w:rPr>
              <w:t>6</w:t>
            </w:r>
            <w:r>
              <w:t>7</w:t>
            </w:r>
            <w:r>
              <w:rPr>
                <w:lang w:eastAsia="zh-CN"/>
              </w:rPr>
              <w:t>0</w:t>
            </w:r>
            <w:r>
              <w:t xml:space="preserve"> MHz – 1</w:t>
            </w:r>
            <w:r>
              <w:rPr>
                <w:lang w:eastAsia="zh-CN"/>
              </w:rPr>
              <w:t>675</w:t>
            </w:r>
            <w:r>
              <w:t xml:space="preserve">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n65</w:t>
            </w:r>
            <w:r>
              <w:rPr>
                <w:vertAlign w:val="superscript"/>
              </w:rPr>
              <w:t>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2010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n66</w:t>
            </w:r>
            <w:r>
              <w:rPr>
                <w:vertAlign w:val="superscript"/>
              </w:rPr>
              <w:t>6,7</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2110 MHz – 2200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n70</w:t>
            </w:r>
          </w:p>
        </w:tc>
        <w:tc>
          <w:tcPr>
            <w:tcW w:w="2716" w:type="dxa"/>
            <w:tcBorders>
              <w:top w:val="single" w:color="auto" w:sz="4" w:space="0"/>
              <w:left w:val="single" w:color="auto" w:sz="4" w:space="0"/>
              <w:bottom w:val="single" w:color="auto" w:sz="4" w:space="0"/>
              <w:right w:val="single" w:color="auto" w:sz="4" w:space="0"/>
            </w:tcBorders>
          </w:tcPr>
          <w:p>
            <w:pPr>
              <w:pStyle w:val="52"/>
            </w:pPr>
            <w:r>
              <w:t>1695 MHz – 1710 MHz</w:t>
            </w:r>
          </w:p>
        </w:tc>
        <w:tc>
          <w:tcPr>
            <w:tcW w:w="2954" w:type="dxa"/>
            <w:tcBorders>
              <w:top w:val="single" w:color="auto" w:sz="4" w:space="0"/>
              <w:left w:val="single" w:color="auto" w:sz="4" w:space="0"/>
              <w:bottom w:val="single" w:color="auto" w:sz="4" w:space="0"/>
              <w:right w:val="single" w:color="auto" w:sz="4" w:space="0"/>
            </w:tcBorders>
          </w:tcPr>
          <w:p>
            <w:pPr>
              <w:pStyle w:val="52"/>
            </w:pPr>
            <w:r>
              <w:t>1995 MHz – 2020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n71</w:t>
            </w:r>
          </w:p>
        </w:tc>
        <w:tc>
          <w:tcPr>
            <w:tcW w:w="2716" w:type="dxa"/>
            <w:tcBorders>
              <w:top w:val="single" w:color="auto" w:sz="4" w:space="0"/>
              <w:left w:val="single" w:color="auto" w:sz="4" w:space="0"/>
              <w:bottom w:val="single" w:color="auto" w:sz="4" w:space="0"/>
              <w:right w:val="single" w:color="auto" w:sz="4" w:space="0"/>
            </w:tcBorders>
          </w:tcPr>
          <w:p>
            <w:pPr>
              <w:pStyle w:val="52"/>
            </w:pPr>
            <w:r>
              <w:t>663 MHz – 698 MHz</w:t>
            </w:r>
          </w:p>
        </w:tc>
        <w:tc>
          <w:tcPr>
            <w:tcW w:w="2954" w:type="dxa"/>
            <w:tcBorders>
              <w:top w:val="single" w:color="auto" w:sz="4" w:space="0"/>
              <w:left w:val="single" w:color="auto" w:sz="4" w:space="0"/>
              <w:bottom w:val="single" w:color="auto" w:sz="4" w:space="0"/>
              <w:right w:val="single" w:color="auto" w:sz="4" w:space="0"/>
            </w:tcBorders>
          </w:tcPr>
          <w:p>
            <w:pPr>
              <w:pStyle w:val="52"/>
            </w:pPr>
            <w:r>
              <w:t>617 MHz – 652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n72</w:t>
            </w:r>
          </w:p>
        </w:tc>
        <w:tc>
          <w:tcPr>
            <w:tcW w:w="2716"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451 MHz </w:t>
            </w:r>
            <w:r>
              <w:t xml:space="preserve">– </w:t>
            </w:r>
            <w:r>
              <w:rPr>
                <w:rFonts w:cs="Arial"/>
              </w:rPr>
              <w:t>456 MHz</w:t>
            </w:r>
          </w:p>
        </w:tc>
        <w:tc>
          <w:tcPr>
            <w:tcW w:w="2954" w:type="dxa"/>
            <w:tcBorders>
              <w:top w:val="single" w:color="auto" w:sz="4" w:space="0"/>
              <w:left w:val="single" w:color="auto" w:sz="4" w:space="0"/>
              <w:bottom w:val="single" w:color="auto" w:sz="4" w:space="0"/>
              <w:right w:val="single" w:color="auto" w:sz="4" w:space="0"/>
            </w:tcBorders>
          </w:tcPr>
          <w:p>
            <w:pPr>
              <w:pStyle w:val="52"/>
            </w:pPr>
            <w:r>
              <w:rPr>
                <w:rFonts w:cs="Arial"/>
              </w:rPr>
              <w:t xml:space="preserve">461 MHz </w:t>
            </w:r>
            <w:r>
              <w:t>– 466 MHz</w:t>
            </w:r>
          </w:p>
        </w:tc>
        <w:tc>
          <w:tcPr>
            <w:tcW w:w="908" w:type="dxa"/>
            <w:tcBorders>
              <w:top w:val="single" w:color="auto" w:sz="4" w:space="0"/>
              <w:left w:val="single" w:color="auto" w:sz="4" w:space="0"/>
              <w:bottom w:val="nil"/>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n74</w:t>
            </w:r>
          </w:p>
        </w:tc>
        <w:tc>
          <w:tcPr>
            <w:tcW w:w="2716" w:type="dxa"/>
            <w:tcBorders>
              <w:top w:val="single" w:color="auto" w:sz="4" w:space="0"/>
              <w:left w:val="single" w:color="auto" w:sz="4" w:space="0"/>
              <w:bottom w:val="single" w:color="auto" w:sz="4" w:space="0"/>
              <w:right w:val="single" w:color="auto" w:sz="4" w:space="0"/>
            </w:tcBorders>
          </w:tcPr>
          <w:p>
            <w:pPr>
              <w:pStyle w:val="52"/>
            </w:pPr>
            <w:r>
              <w:t>1427 MHz – 1470 MHz</w:t>
            </w:r>
          </w:p>
        </w:tc>
        <w:tc>
          <w:tcPr>
            <w:tcW w:w="2954" w:type="dxa"/>
            <w:tcBorders>
              <w:top w:val="single" w:color="auto" w:sz="4" w:space="0"/>
              <w:left w:val="single" w:color="auto" w:sz="4" w:space="0"/>
              <w:bottom w:val="single" w:color="auto" w:sz="4" w:space="0"/>
              <w:right w:val="single" w:color="auto" w:sz="4" w:space="0"/>
            </w:tcBorders>
          </w:tcPr>
          <w:p>
            <w:pPr>
              <w:pStyle w:val="52"/>
            </w:pPr>
            <w:r>
              <w:t>1475 MHz – 1518 MHz</w:t>
            </w:r>
          </w:p>
        </w:tc>
        <w:tc>
          <w:tcPr>
            <w:tcW w:w="908" w:type="dxa"/>
            <w:tcBorders>
              <w:top w:val="single" w:color="auto" w:sz="4" w:space="0"/>
              <w:left w:val="single" w:color="auto" w:sz="4" w:space="0"/>
              <w:bottom w:val="nil"/>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n75</w:t>
            </w:r>
            <w:r>
              <w:rPr>
                <w:rFonts w:hint="eastAsia" w:eastAsia="宋体"/>
                <w:vertAlign w:val="superscript"/>
                <w:lang w:val="en-US" w:eastAsia="zh-CN"/>
              </w:rPr>
              <w:t>2,</w:t>
            </w:r>
            <w:r>
              <w:rPr>
                <w:rFonts w:eastAsia="宋体"/>
                <w:vertAlign w:val="superscript"/>
                <w:lang w:eastAsia="zh-CN"/>
              </w:rPr>
              <w:t>19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n76</w:t>
            </w:r>
            <w:r>
              <w:rPr>
                <w:rFonts w:eastAsia="宋体"/>
                <w:vertAlign w:val="superscript"/>
                <w:lang w:eastAsia="zh-CN"/>
              </w:rPr>
              <w:t>19</w:t>
            </w:r>
          </w:p>
        </w:tc>
        <w:tc>
          <w:tcPr>
            <w:tcW w:w="2716" w:type="dxa"/>
            <w:tcBorders>
              <w:top w:val="single" w:color="auto" w:sz="4" w:space="0"/>
              <w:left w:val="single" w:color="auto" w:sz="4" w:space="0"/>
              <w:bottom w:val="single" w:color="auto" w:sz="4" w:space="0"/>
              <w:right w:val="single" w:color="auto" w:sz="4" w:space="0"/>
            </w:tcBorders>
          </w:tcPr>
          <w:p>
            <w:pPr>
              <w:pStyle w:val="52"/>
            </w:pPr>
            <w:r>
              <w:t>N/A</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nil"/>
              <w:right w:val="single" w:color="auto" w:sz="4" w:space="0"/>
            </w:tcBorders>
          </w:tcPr>
          <w:p>
            <w:pPr>
              <w:pStyle w:val="52"/>
            </w:pPr>
            <w:r>
              <w:t>SDL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n77</w:t>
            </w:r>
            <w:r>
              <w:rPr>
                <w:vertAlign w:val="superscript"/>
              </w:rPr>
              <w:t>12</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4200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n78</w:t>
            </w:r>
          </w:p>
        </w:tc>
        <w:tc>
          <w:tcPr>
            <w:tcW w:w="2716"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2954" w:type="dxa"/>
            <w:tcBorders>
              <w:top w:val="single" w:color="auto" w:sz="4" w:space="0"/>
              <w:left w:val="single" w:color="auto" w:sz="4" w:space="0"/>
              <w:bottom w:val="single" w:color="auto" w:sz="4" w:space="0"/>
              <w:right w:val="single" w:color="auto" w:sz="4" w:space="0"/>
            </w:tcBorders>
          </w:tcPr>
          <w:p>
            <w:pPr>
              <w:pStyle w:val="52"/>
            </w:pPr>
            <w:r>
              <w:t>3300 MHz – 3800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n79</w:t>
            </w:r>
            <w:r>
              <w:rPr>
                <w:rFonts w:eastAsia="宋体"/>
                <w:vertAlign w:val="superscript"/>
                <w:lang w:eastAsia="zh-CN"/>
              </w:rPr>
              <w:t>17</w:t>
            </w:r>
          </w:p>
        </w:tc>
        <w:tc>
          <w:tcPr>
            <w:tcW w:w="2716"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2954" w:type="dxa"/>
            <w:tcBorders>
              <w:top w:val="single" w:color="auto" w:sz="4" w:space="0"/>
              <w:left w:val="single" w:color="auto" w:sz="4" w:space="0"/>
              <w:bottom w:val="single" w:color="auto" w:sz="4" w:space="0"/>
              <w:right w:val="single" w:color="auto" w:sz="4" w:space="0"/>
            </w:tcBorders>
          </w:tcPr>
          <w:p>
            <w:pPr>
              <w:pStyle w:val="52"/>
            </w:pPr>
            <w:r>
              <w:t>4400 MHz – 5000 MHz</w:t>
            </w:r>
          </w:p>
        </w:tc>
        <w:tc>
          <w:tcPr>
            <w:tcW w:w="908" w:type="dxa"/>
            <w:tcBorders>
              <w:top w:val="single" w:color="auto" w:sz="4" w:space="0"/>
              <w:left w:val="single" w:color="auto" w:sz="4" w:space="0"/>
              <w:bottom w:val="nil"/>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n80</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n81</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n82</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 xml:space="preserve">SUL </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nil"/>
              <w:right w:val="single" w:color="auto" w:sz="4" w:space="0"/>
            </w:tcBorders>
          </w:tcPr>
          <w:p>
            <w:pPr>
              <w:pStyle w:val="52"/>
            </w:pPr>
            <w:r>
              <w:t>n83</w:t>
            </w:r>
          </w:p>
        </w:tc>
        <w:tc>
          <w:tcPr>
            <w:tcW w:w="2716" w:type="dxa"/>
            <w:tcBorders>
              <w:top w:val="single" w:color="auto" w:sz="4" w:space="0"/>
              <w:left w:val="single" w:color="auto" w:sz="4" w:space="0"/>
              <w:bottom w:val="single" w:color="auto" w:sz="4" w:space="0"/>
              <w:right w:val="single" w:color="auto" w:sz="4" w:space="0"/>
            </w:tcBorders>
          </w:tcPr>
          <w:p>
            <w:pPr>
              <w:pStyle w:val="52"/>
            </w:pPr>
            <w:r>
              <w:t>703 MHz – 748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nil"/>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n84</w:t>
            </w:r>
          </w:p>
        </w:tc>
        <w:tc>
          <w:tcPr>
            <w:tcW w:w="2716" w:type="dxa"/>
            <w:tcBorders>
              <w:top w:val="single" w:color="auto" w:sz="4" w:space="0"/>
              <w:left w:val="single" w:color="auto" w:sz="4" w:space="0"/>
              <w:bottom w:val="single" w:color="auto" w:sz="4" w:space="0"/>
              <w:right w:val="single" w:color="auto" w:sz="4" w:space="0"/>
            </w:tcBorders>
          </w:tcPr>
          <w:p>
            <w:pPr>
              <w:pStyle w:val="52"/>
            </w:pPr>
            <w:r>
              <w:t>1920 MHz – 1980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rPr>
                <w:lang w:eastAsia="zh-CN"/>
              </w:rPr>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n85</w:t>
            </w:r>
          </w:p>
        </w:tc>
        <w:tc>
          <w:tcPr>
            <w:tcW w:w="2716" w:type="dxa"/>
            <w:tcBorders>
              <w:top w:val="single" w:color="auto" w:sz="4" w:space="0"/>
              <w:left w:val="single" w:color="auto" w:sz="4" w:space="0"/>
              <w:bottom w:val="single" w:color="auto" w:sz="4" w:space="0"/>
              <w:right w:val="single" w:color="auto" w:sz="4" w:space="0"/>
            </w:tcBorders>
          </w:tcPr>
          <w:p>
            <w:pPr>
              <w:pStyle w:val="52"/>
            </w:pPr>
            <w:r>
              <w:t xml:space="preserve">698 MHz – 716 MHz </w:t>
            </w:r>
          </w:p>
        </w:tc>
        <w:tc>
          <w:tcPr>
            <w:tcW w:w="2954" w:type="dxa"/>
            <w:tcBorders>
              <w:top w:val="single" w:color="auto" w:sz="4" w:space="0"/>
              <w:left w:val="single" w:color="auto" w:sz="4" w:space="0"/>
              <w:bottom w:val="single" w:color="auto" w:sz="4" w:space="0"/>
              <w:right w:val="single" w:color="auto" w:sz="4" w:space="0"/>
            </w:tcBorders>
          </w:tcPr>
          <w:p>
            <w:pPr>
              <w:pStyle w:val="52"/>
            </w:pPr>
            <w:r>
              <w:t>728 MHz – 746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t>n86</w:t>
            </w:r>
          </w:p>
        </w:tc>
        <w:tc>
          <w:tcPr>
            <w:tcW w:w="2716" w:type="dxa"/>
            <w:tcBorders>
              <w:top w:val="single" w:color="auto" w:sz="4" w:space="0"/>
              <w:left w:val="single" w:color="auto" w:sz="4" w:space="0"/>
              <w:bottom w:val="single" w:color="auto" w:sz="4" w:space="0"/>
              <w:right w:val="single" w:color="auto" w:sz="4" w:space="0"/>
            </w:tcBorders>
          </w:tcPr>
          <w:p>
            <w:pPr>
              <w:pStyle w:val="52"/>
            </w:pPr>
            <w:r>
              <w:t>1710 MHz – 1780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ins w:id="0" w:author="China Unicom" w:date="2025-11-07T17:03:40Z"/>
        </w:trPr>
        <w:tc>
          <w:tcPr>
            <w:tcW w:w="1162" w:type="dxa"/>
            <w:tcBorders>
              <w:top w:val="single" w:color="auto" w:sz="4" w:space="0"/>
              <w:left w:val="single" w:color="auto" w:sz="4" w:space="0"/>
              <w:bottom w:val="single" w:color="auto" w:sz="4" w:space="0"/>
              <w:right w:val="single" w:color="auto" w:sz="4" w:space="0"/>
            </w:tcBorders>
          </w:tcPr>
          <w:p>
            <w:pPr>
              <w:pStyle w:val="52"/>
              <w:rPr>
                <w:ins w:id="1" w:author="China Unicom" w:date="2025-11-07T17:03:40Z"/>
              </w:rPr>
            </w:pPr>
            <w:ins w:id="2" w:author="China Unicom" w:date="2025-11-07T17:03:40Z">
              <w:r>
                <w:rPr/>
                <w:t>n8</w:t>
              </w:r>
            </w:ins>
            <w:ins w:id="3" w:author="China Unicom" w:date="2025-11-07T17:03:40Z">
              <w:r>
                <w:rPr>
                  <w:rFonts w:hint="eastAsia"/>
                  <w:lang w:eastAsia="zh-CN"/>
                </w:rPr>
                <w:t>7</w:t>
              </w:r>
            </w:ins>
          </w:p>
        </w:tc>
        <w:tc>
          <w:tcPr>
            <w:tcW w:w="2716" w:type="dxa"/>
            <w:tcBorders>
              <w:top w:val="single" w:color="auto" w:sz="4" w:space="0"/>
              <w:left w:val="single" w:color="auto" w:sz="4" w:space="0"/>
              <w:bottom w:val="single" w:color="auto" w:sz="4" w:space="0"/>
              <w:right w:val="single" w:color="auto" w:sz="4" w:space="0"/>
            </w:tcBorders>
          </w:tcPr>
          <w:p>
            <w:pPr>
              <w:pStyle w:val="52"/>
              <w:rPr>
                <w:ins w:id="4" w:author="China Unicom" w:date="2025-11-07T17:03:40Z"/>
              </w:rPr>
            </w:pPr>
            <w:ins w:id="5" w:author="China Unicom" w:date="2025-11-07T17:03:40Z">
              <w:r>
                <w:rPr/>
                <w:t>410</w:t>
              </w:r>
            </w:ins>
            <w:ins w:id="6" w:author="China Unicom" w:date="2025-11-07T17:03:40Z">
              <w:r>
                <w:rPr>
                  <w:rFonts w:hint="eastAsia"/>
                  <w:lang w:eastAsia="zh-CN"/>
                </w:rPr>
                <w:t xml:space="preserve"> MHz</w:t>
              </w:r>
            </w:ins>
            <w:ins w:id="7" w:author="China Unicom" w:date="2025-11-07T17:03:40Z">
              <w:r>
                <w:rPr/>
                <w:t xml:space="preserve"> – 415</w:t>
              </w:r>
            </w:ins>
            <w:ins w:id="8" w:author="China Unicom" w:date="2025-11-07T17:03:40Z">
              <w:r>
                <w:rPr>
                  <w:rFonts w:hint="eastAsia"/>
                  <w:lang w:eastAsia="zh-CN"/>
                </w:rPr>
                <w:t xml:space="preserve">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9" w:author="China Unicom" w:date="2025-11-07T17:03:40Z"/>
              </w:rPr>
            </w:pPr>
            <w:ins w:id="10" w:author="China Unicom" w:date="2025-11-07T17:03:40Z">
              <w:r>
                <w:rPr/>
                <w:t>420</w:t>
              </w:r>
            </w:ins>
            <w:ins w:id="11" w:author="China Unicom" w:date="2025-11-07T17:03:40Z">
              <w:r>
                <w:rPr>
                  <w:rFonts w:hint="eastAsia"/>
                  <w:lang w:eastAsia="zh-CN"/>
                </w:rPr>
                <w:t xml:space="preserve"> MHz</w:t>
              </w:r>
            </w:ins>
            <w:ins w:id="12" w:author="China Unicom" w:date="2025-11-07T17:03:40Z">
              <w:r>
                <w:rPr/>
                <w:t xml:space="preserve"> – 425</w:t>
              </w:r>
            </w:ins>
            <w:ins w:id="13" w:author="China Unicom" w:date="2025-11-07T17:03:40Z">
              <w:r>
                <w:rPr>
                  <w:rFonts w:hint="eastAsia"/>
                  <w:lang w:eastAsia="zh-CN"/>
                </w:rPr>
                <w:t xml:space="preserve">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14" w:author="China Unicom" w:date="2025-11-07T17:03:40Z"/>
              </w:rPr>
            </w:pPr>
            <w:ins w:id="15" w:author="China Unicom" w:date="2025-11-07T17:03:40Z">
              <w:r>
                <w:rPr/>
                <w:t>FDD</w:t>
              </w:r>
            </w:ins>
          </w:p>
        </w:tc>
      </w:tr>
      <w:tr>
        <w:tblPrEx>
          <w:tblCellMar>
            <w:top w:w="0" w:type="dxa"/>
            <w:left w:w="108" w:type="dxa"/>
            <w:bottom w:w="0" w:type="dxa"/>
            <w:right w:w="108" w:type="dxa"/>
          </w:tblCellMar>
        </w:tblPrEx>
        <w:trPr>
          <w:jc w:val="center"/>
          <w:ins w:id="16" w:author="China Unicom" w:date="2025-11-07T17:03:40Z"/>
        </w:trPr>
        <w:tc>
          <w:tcPr>
            <w:tcW w:w="1162" w:type="dxa"/>
            <w:tcBorders>
              <w:top w:val="single" w:color="auto" w:sz="4" w:space="0"/>
              <w:left w:val="single" w:color="auto" w:sz="4" w:space="0"/>
              <w:bottom w:val="single" w:color="auto" w:sz="4" w:space="0"/>
              <w:right w:val="single" w:color="auto" w:sz="4" w:space="0"/>
            </w:tcBorders>
          </w:tcPr>
          <w:p>
            <w:pPr>
              <w:pStyle w:val="52"/>
              <w:rPr>
                <w:ins w:id="17" w:author="China Unicom" w:date="2025-11-07T17:03:40Z"/>
              </w:rPr>
            </w:pPr>
            <w:ins w:id="18" w:author="China Unicom" w:date="2025-11-07T17:03:40Z">
              <w:r>
                <w:rPr/>
                <w:t>n8</w:t>
              </w:r>
            </w:ins>
            <w:ins w:id="19" w:author="China Unicom" w:date="2025-11-07T17:03:40Z">
              <w:r>
                <w:rPr>
                  <w:rFonts w:hint="eastAsia"/>
                  <w:lang w:eastAsia="zh-CN"/>
                </w:rPr>
                <w:t>8</w:t>
              </w:r>
            </w:ins>
          </w:p>
        </w:tc>
        <w:tc>
          <w:tcPr>
            <w:tcW w:w="2716" w:type="dxa"/>
            <w:tcBorders>
              <w:top w:val="single" w:color="auto" w:sz="4" w:space="0"/>
              <w:left w:val="single" w:color="auto" w:sz="4" w:space="0"/>
              <w:bottom w:val="single" w:color="auto" w:sz="4" w:space="0"/>
              <w:right w:val="single" w:color="auto" w:sz="4" w:space="0"/>
            </w:tcBorders>
          </w:tcPr>
          <w:p>
            <w:pPr>
              <w:pStyle w:val="52"/>
              <w:rPr>
                <w:ins w:id="20" w:author="China Unicom" w:date="2025-11-07T17:03:40Z"/>
              </w:rPr>
            </w:pPr>
            <w:ins w:id="21" w:author="China Unicom" w:date="2025-11-07T17:03:40Z">
              <w:r>
                <w:rPr/>
                <w:t xml:space="preserve">412 </w:t>
              </w:r>
            </w:ins>
            <w:ins w:id="22" w:author="China Unicom" w:date="2025-11-07T17:03:40Z">
              <w:r>
                <w:rPr>
                  <w:rFonts w:hint="eastAsia"/>
                  <w:lang w:eastAsia="zh-CN"/>
                </w:rPr>
                <w:t xml:space="preserve">MHz </w:t>
              </w:r>
            </w:ins>
            <w:ins w:id="23" w:author="China Unicom" w:date="2025-11-07T17:03:40Z">
              <w:r>
                <w:rPr/>
                <w:t>– 417</w:t>
              </w:r>
            </w:ins>
            <w:ins w:id="24" w:author="China Unicom" w:date="2025-11-07T17:03:40Z">
              <w:r>
                <w:rPr>
                  <w:rFonts w:hint="eastAsia"/>
                  <w:lang w:eastAsia="zh-CN"/>
                </w:rPr>
                <w:t xml:space="preserve"> MHz</w:t>
              </w:r>
            </w:ins>
          </w:p>
        </w:tc>
        <w:tc>
          <w:tcPr>
            <w:tcW w:w="2954" w:type="dxa"/>
            <w:tcBorders>
              <w:top w:val="single" w:color="auto" w:sz="4" w:space="0"/>
              <w:left w:val="single" w:color="auto" w:sz="4" w:space="0"/>
              <w:bottom w:val="single" w:color="auto" w:sz="4" w:space="0"/>
              <w:right w:val="single" w:color="auto" w:sz="4" w:space="0"/>
            </w:tcBorders>
          </w:tcPr>
          <w:p>
            <w:pPr>
              <w:pStyle w:val="52"/>
              <w:rPr>
                <w:ins w:id="25" w:author="China Unicom" w:date="2025-11-07T17:03:40Z"/>
              </w:rPr>
            </w:pPr>
            <w:ins w:id="26" w:author="China Unicom" w:date="2025-11-07T17:03:40Z">
              <w:r>
                <w:rPr/>
                <w:t>422</w:t>
              </w:r>
            </w:ins>
            <w:ins w:id="27" w:author="China Unicom" w:date="2025-11-07T17:03:40Z">
              <w:r>
                <w:rPr>
                  <w:rFonts w:hint="eastAsia"/>
                  <w:lang w:eastAsia="zh-CN"/>
                </w:rPr>
                <w:t xml:space="preserve"> MHz</w:t>
              </w:r>
            </w:ins>
            <w:ins w:id="28" w:author="China Unicom" w:date="2025-11-07T17:03:40Z">
              <w:r>
                <w:rPr/>
                <w:t xml:space="preserve"> – 427</w:t>
              </w:r>
            </w:ins>
            <w:ins w:id="29" w:author="China Unicom" w:date="2025-11-07T17:03:40Z">
              <w:r>
                <w:rPr>
                  <w:rFonts w:hint="eastAsia"/>
                  <w:lang w:eastAsia="zh-CN"/>
                </w:rPr>
                <w:t xml:space="preserve"> MHz</w:t>
              </w:r>
            </w:ins>
          </w:p>
        </w:tc>
        <w:tc>
          <w:tcPr>
            <w:tcW w:w="908" w:type="dxa"/>
            <w:tcBorders>
              <w:top w:val="single" w:color="auto" w:sz="4" w:space="0"/>
              <w:left w:val="single" w:color="auto" w:sz="4" w:space="0"/>
              <w:bottom w:val="single" w:color="auto" w:sz="4" w:space="0"/>
              <w:right w:val="single" w:color="auto" w:sz="4" w:space="0"/>
            </w:tcBorders>
          </w:tcPr>
          <w:p>
            <w:pPr>
              <w:pStyle w:val="52"/>
              <w:rPr>
                <w:ins w:id="30" w:author="China Unicom" w:date="2025-11-07T17:03:40Z"/>
              </w:rPr>
            </w:pPr>
            <w:ins w:id="31" w:author="China Unicom" w:date="2025-11-07T17:03:40Z">
              <w:r>
                <w:rPr/>
                <w:t>FDD</w:t>
              </w:r>
            </w:ins>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r>
              <w:rPr>
                <w:vertAlign w:val="superscript"/>
                <w:lang w:eastAsia="zh-CN"/>
              </w:rPr>
              <w:t>9</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r>
              <w:rPr>
                <w:vertAlign w:val="superscript"/>
                <w:lang w:eastAsia="zh-CN"/>
              </w:rPr>
              <w:t>9</w:t>
            </w:r>
          </w:p>
        </w:tc>
        <w:tc>
          <w:tcPr>
            <w:tcW w:w="2716" w:type="dxa"/>
            <w:tcBorders>
              <w:top w:val="single" w:color="auto" w:sz="4" w:space="0"/>
              <w:left w:val="single" w:color="auto" w:sz="4" w:space="0"/>
              <w:bottom w:val="single" w:color="auto" w:sz="4" w:space="0"/>
              <w:right w:val="single" w:color="auto" w:sz="4" w:space="0"/>
            </w:tcBorders>
          </w:tcPr>
          <w:p>
            <w:pPr>
              <w:pStyle w:val="52"/>
            </w:pPr>
            <w:r>
              <w:t>832 MHz – 862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r>
              <w:rPr>
                <w:vertAlign w:val="superscript"/>
                <w:lang w:eastAsia="zh-CN"/>
              </w:rPr>
              <w:t>9</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1427 MHz – 1432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r>
              <w:rPr>
                <w:vertAlign w:val="superscript"/>
                <w:lang w:eastAsia="zh-CN"/>
              </w:rPr>
              <w:t>9</w:t>
            </w:r>
          </w:p>
        </w:tc>
        <w:tc>
          <w:tcPr>
            <w:tcW w:w="2716" w:type="dxa"/>
            <w:tcBorders>
              <w:top w:val="single" w:color="auto" w:sz="4" w:space="0"/>
              <w:left w:val="single" w:color="auto" w:sz="4" w:space="0"/>
              <w:bottom w:val="single" w:color="auto" w:sz="4" w:space="0"/>
              <w:right w:val="single" w:color="auto" w:sz="4" w:space="0"/>
            </w:tcBorders>
          </w:tcPr>
          <w:p>
            <w:pPr>
              <w:pStyle w:val="52"/>
            </w:pPr>
            <w:r>
              <w:t>880 MHz – 915 MHz</w:t>
            </w:r>
          </w:p>
        </w:tc>
        <w:tc>
          <w:tcPr>
            <w:tcW w:w="2954" w:type="dxa"/>
            <w:tcBorders>
              <w:top w:val="single" w:color="auto" w:sz="4" w:space="0"/>
              <w:left w:val="single" w:color="auto" w:sz="4" w:space="0"/>
              <w:bottom w:val="single" w:color="auto" w:sz="4" w:space="0"/>
              <w:right w:val="single" w:color="auto" w:sz="4" w:space="0"/>
            </w:tcBorders>
          </w:tcPr>
          <w:p>
            <w:pPr>
              <w:pStyle w:val="52"/>
            </w:pPr>
            <w: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lang w:eastAsia="zh-CN"/>
              </w:rPr>
              <w:t>n95</w:t>
            </w:r>
            <w:r>
              <w:rPr>
                <w:rFonts w:cs="Arial"/>
                <w:vertAlign w:val="superscript"/>
                <w:lang w:eastAsia="zh-CN"/>
              </w:rPr>
              <w:t>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2010 MHz</w:t>
            </w:r>
            <w:r>
              <w:t xml:space="preserve"> – </w:t>
            </w:r>
            <w:r>
              <w:rPr>
                <w:lang w:eastAsia="zh-CN"/>
              </w:rPr>
              <w:t>2025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n96</w:t>
            </w:r>
            <w:r>
              <w:rPr>
                <w:vertAlign w:val="superscript"/>
                <w:lang w:eastAsia="zh-CN"/>
              </w:rPr>
              <w:t>14</w:t>
            </w:r>
            <w:r>
              <w:rPr>
                <w:rFonts w:hint="eastAsia"/>
                <w:vertAlign w:val="superscript"/>
                <w:lang w:val="en-US" w:eastAsia="zh-CN"/>
              </w:rPr>
              <w:t>,</w:t>
            </w:r>
            <w:r>
              <w:rPr>
                <w:vertAlign w:val="superscript"/>
              </w:rPr>
              <w:t>13</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5925 MHz</w:t>
            </w:r>
            <w:r>
              <w:t xml:space="preserve"> – 7125</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5925 MHz</w:t>
            </w:r>
            <w:r>
              <w:t xml:space="preserve"> – 7125</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pPr>
            <w: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n97</w:t>
            </w:r>
            <w:r>
              <w:rPr>
                <w:vertAlign w:val="superscript"/>
              </w:rPr>
              <w:t>15</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2300 MHz – 2400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n98</w:t>
            </w:r>
            <w:r>
              <w:rPr>
                <w:rFonts w:eastAsia="宋体"/>
                <w:vertAlign w:val="superscript"/>
                <w:lang w:eastAsia="zh-CN"/>
              </w:rPr>
              <w:t>15</w:t>
            </w:r>
          </w:p>
        </w:tc>
        <w:tc>
          <w:tcPr>
            <w:tcW w:w="2716" w:type="dxa"/>
            <w:tcBorders>
              <w:top w:val="single" w:color="auto" w:sz="4" w:space="0"/>
              <w:left w:val="single" w:color="auto" w:sz="4" w:space="0"/>
              <w:bottom w:val="single" w:color="auto" w:sz="4" w:space="0"/>
              <w:right w:val="single" w:color="auto" w:sz="4" w:space="0"/>
            </w:tcBorders>
          </w:tcPr>
          <w:p>
            <w:pPr>
              <w:pStyle w:val="52"/>
            </w:pPr>
            <w:r>
              <w:t>1880 MHz – 1920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lang w:eastAsia="zh-CN"/>
              </w:rPr>
            </w:pPr>
            <w:r>
              <w:t>n99</w:t>
            </w:r>
            <w:r>
              <w:rPr>
                <w:rFonts w:hint="eastAsia" w:eastAsia="宋体"/>
                <w:vertAlign w:val="superscript"/>
                <w:lang w:val="en-US" w:eastAsia="zh-CN"/>
              </w:rPr>
              <w:t>22</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t>1626.5 MHz – 1660.5 MHz</w:t>
            </w:r>
          </w:p>
        </w:tc>
        <w:tc>
          <w:tcPr>
            <w:tcW w:w="2954" w:type="dxa"/>
            <w:tcBorders>
              <w:top w:val="single" w:color="auto" w:sz="4" w:space="0"/>
              <w:left w:val="single" w:color="auto" w:sz="4" w:space="0"/>
              <w:bottom w:val="single" w:color="auto" w:sz="4" w:space="0"/>
              <w:right w:val="single" w:color="auto" w:sz="4" w:space="0"/>
            </w:tcBorders>
          </w:tcPr>
          <w:p>
            <w:pPr>
              <w:pStyle w:val="52"/>
            </w:pPr>
            <w:r>
              <w:t>N/A</w:t>
            </w:r>
          </w:p>
        </w:tc>
        <w:tc>
          <w:tcPr>
            <w:tcW w:w="908" w:type="dxa"/>
            <w:tcBorders>
              <w:top w:val="single" w:color="auto" w:sz="4" w:space="0"/>
              <w:left w:val="single" w:color="auto" w:sz="4" w:space="0"/>
              <w:bottom w:val="single" w:color="auto" w:sz="4" w:space="0"/>
              <w:right w:val="single" w:color="auto" w:sz="4" w:space="0"/>
            </w:tcBorders>
          </w:tcPr>
          <w:p>
            <w:pPr>
              <w:pStyle w:val="52"/>
            </w:pPr>
            <w:r>
              <w:t>SUL</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r>
              <w:rPr>
                <w:rFonts w:eastAsia="宋体"/>
                <w:vertAlign w:val="superscript"/>
                <w:lang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874.4 MHz – 880 MHz</w:t>
            </w:r>
          </w:p>
        </w:tc>
        <w:tc>
          <w:tcPr>
            <w:tcW w:w="2954" w:type="dxa"/>
            <w:tcBorders>
              <w:top w:val="single" w:color="auto" w:sz="4" w:space="0"/>
              <w:left w:val="single" w:color="auto" w:sz="4" w:space="0"/>
              <w:bottom w:val="single" w:color="auto" w:sz="4" w:space="0"/>
              <w:right w:val="single" w:color="auto" w:sz="4" w:space="0"/>
            </w:tcBorders>
          </w:tcPr>
          <w:p>
            <w:pPr>
              <w:pStyle w:val="52"/>
            </w:pPr>
            <w:r>
              <w:t>919.4 MHz – 925 MHz</w:t>
            </w:r>
          </w:p>
        </w:tc>
        <w:tc>
          <w:tcPr>
            <w:tcW w:w="908" w:type="dxa"/>
            <w:tcBorders>
              <w:top w:val="single" w:color="auto" w:sz="4" w:space="0"/>
              <w:left w:val="single" w:color="auto" w:sz="4" w:space="0"/>
              <w:bottom w:val="single" w:color="auto" w:sz="4" w:space="0"/>
              <w:right w:val="single" w:color="auto" w:sz="4" w:space="0"/>
            </w:tcBorders>
          </w:tcPr>
          <w:p>
            <w:pPr>
              <w:pStyle w:val="52"/>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r>
              <w:rPr>
                <w:rFonts w:eastAsia="宋体"/>
                <w:vertAlign w:val="superscript"/>
                <w:lang w:eastAsia="zh-CN"/>
              </w:rPr>
              <w:t>21</w:t>
            </w:r>
          </w:p>
        </w:tc>
        <w:tc>
          <w:tcPr>
            <w:tcW w:w="2716"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2954" w:type="dxa"/>
            <w:tcBorders>
              <w:top w:val="single" w:color="auto" w:sz="4" w:space="0"/>
              <w:left w:val="single" w:color="auto" w:sz="4" w:space="0"/>
              <w:bottom w:val="single" w:color="auto" w:sz="4" w:space="0"/>
              <w:right w:val="single" w:color="auto" w:sz="4" w:space="0"/>
            </w:tcBorders>
          </w:tcPr>
          <w:p>
            <w:pPr>
              <w:pStyle w:val="52"/>
            </w:pPr>
            <w:r>
              <w:t>1900 MHz – 1910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T</w:t>
            </w:r>
            <w:r>
              <w: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val="en-US" w:eastAsia="zh-CN"/>
              </w:rPr>
              <w:t>n104</w:t>
            </w:r>
            <w:r>
              <w:rPr>
                <w:rFonts w:hint="eastAsia" w:eastAsia="宋体"/>
                <w:vertAlign w:val="superscript"/>
                <w:lang w:val="en-US" w:eastAsia="zh-CN"/>
              </w:rPr>
              <w:t>17, 18</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6425</w:t>
            </w:r>
            <w:r>
              <w:rPr>
                <w:rFonts w:hint="eastAsia"/>
                <w:lang w:eastAsia="zh-CN"/>
              </w:rPr>
              <w:t xml:space="preserve"> MHz</w:t>
            </w:r>
            <w:r>
              <w:t xml:space="preserve"> – 7125</w:t>
            </w:r>
            <w:r>
              <w:rPr>
                <w:rFonts w:hint="eastAsia"/>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6425</w:t>
            </w:r>
            <w:r>
              <w:rPr>
                <w:rFonts w:hint="eastAsia"/>
                <w:lang w:eastAsia="zh-CN"/>
              </w:rPr>
              <w:t xml:space="preserve"> MHz</w:t>
            </w:r>
            <w:r>
              <w:t xml:space="preserve"> – 7125</w:t>
            </w:r>
            <w:r>
              <w:rPr>
                <w:rFonts w:hint="eastAsia"/>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val="en-US" w:eastAsia="zh-CN"/>
              </w:rPr>
              <w:t>TDD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n105</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663 MHz</w:t>
            </w:r>
            <w:r>
              <w:t xml:space="preserve"> – 703</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612 MHz</w:t>
            </w:r>
            <w:r>
              <w:t xml:space="preserve"> – 652</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p>
        </w:tc>
        <w:tc>
          <w:tcPr>
            <w:tcW w:w="2716" w:type="dxa"/>
            <w:tcBorders>
              <w:top w:val="single" w:color="auto" w:sz="4" w:space="0"/>
              <w:left w:val="single" w:color="auto" w:sz="4" w:space="0"/>
              <w:bottom w:val="single" w:color="auto" w:sz="4" w:space="0"/>
              <w:right w:val="single" w:color="auto" w:sz="4" w:space="0"/>
            </w:tcBorders>
          </w:tcPr>
          <w:p>
            <w:pPr>
              <w:pStyle w:val="52"/>
            </w:pPr>
            <w:r>
              <w:rPr>
                <w:lang w:eastAsia="zh-CN"/>
              </w:rPr>
              <w:t>896 MHz</w:t>
            </w:r>
            <w:r>
              <w:t xml:space="preserve"> – 901</w:t>
            </w:r>
            <w:r>
              <w:rPr>
                <w:lang w:eastAsia="zh-CN"/>
              </w:rPr>
              <w:t xml:space="preserve"> MHz</w:t>
            </w:r>
          </w:p>
        </w:tc>
        <w:tc>
          <w:tcPr>
            <w:tcW w:w="2954" w:type="dxa"/>
            <w:tcBorders>
              <w:top w:val="single" w:color="auto" w:sz="4" w:space="0"/>
              <w:left w:val="single" w:color="auto" w:sz="4" w:space="0"/>
              <w:bottom w:val="single" w:color="auto" w:sz="4" w:space="0"/>
              <w:right w:val="single" w:color="auto" w:sz="4" w:space="0"/>
            </w:tcBorders>
          </w:tcPr>
          <w:p>
            <w:pPr>
              <w:pStyle w:val="52"/>
            </w:pPr>
            <w:r>
              <w:rPr>
                <w:lang w:eastAsia="zh-CN"/>
              </w:rPr>
              <w:t>935 MHz</w:t>
            </w:r>
            <w:r>
              <w:t xml:space="preserve"> – 940</w:t>
            </w:r>
            <w:r>
              <w:rPr>
                <w:lang w:eastAsia="zh-CN"/>
              </w:rPr>
              <w:t xml:space="preserve">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n109</w:t>
            </w:r>
            <w:r>
              <w:rPr>
                <w:rFonts w:eastAsia="宋体"/>
                <w:vertAlign w:val="superscript"/>
                <w:lang w:eastAsia="zh-CN"/>
              </w:rPr>
              <w:t>9</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703 MHz – 733 MHz</w:t>
            </w:r>
          </w:p>
        </w:tc>
        <w:tc>
          <w:tcPr>
            <w:tcW w:w="295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1432 MHz – 1517 MHz</w:t>
            </w:r>
          </w:p>
        </w:tc>
        <w:tc>
          <w:tcPr>
            <w:tcW w:w="908"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FDD</w:t>
            </w:r>
          </w:p>
        </w:tc>
      </w:tr>
      <w:tr>
        <w:tblPrEx>
          <w:tblCellMar>
            <w:top w:w="0" w:type="dxa"/>
            <w:left w:w="10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eastAsia="宋体"/>
                <w:lang w:val="en-US" w:eastAsia="zh-CN"/>
              </w:rPr>
              <w:t>n110</w:t>
            </w:r>
          </w:p>
        </w:tc>
        <w:tc>
          <w:tcPr>
            <w:tcW w:w="27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1390 MHz – 1395 MHz</w:t>
            </w:r>
          </w:p>
        </w:tc>
        <w:tc>
          <w:tcPr>
            <w:tcW w:w="295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1432 MHz – 1435 MHz</w:t>
            </w:r>
          </w:p>
        </w:tc>
        <w:tc>
          <w:tcPr>
            <w:tcW w:w="908"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FDD</w:t>
            </w:r>
          </w:p>
        </w:tc>
      </w:tr>
      <w:tr>
        <w:tblPrEx>
          <w:tblCellMar>
            <w:top w:w="0" w:type="dxa"/>
            <w:left w:w="108" w:type="dxa"/>
            <w:bottom w:w="0" w:type="dxa"/>
            <w:right w:w="108" w:type="dxa"/>
          </w:tblCellMar>
        </w:tblPrEx>
        <w:trPr>
          <w:jc w:val="center"/>
        </w:trPr>
        <w:tc>
          <w:tcPr>
            <w:tcW w:w="7740"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UE that complies with the NR Band n50 minimum requirements in this specification. Shall also comply with the NR Band n51 minimum requirements.</w:t>
            </w:r>
          </w:p>
          <w:p>
            <w:pPr>
              <w:pStyle w:val="66"/>
            </w:pPr>
            <w:r>
              <w:t>NOTE 2:</w:t>
            </w:r>
            <w:r>
              <w:tab/>
            </w:r>
            <w:r>
              <w:t>UE that complies with the NR Band n75 minimum requirements in this specification. Shall also comply with the NR Band n76 minimum requirements.</w:t>
            </w:r>
          </w:p>
          <w:p>
            <w:pPr>
              <w:pStyle w:val="66"/>
            </w:pPr>
            <w:r>
              <w:t>NOTE 3:</w:t>
            </w:r>
            <w:r>
              <w:tab/>
            </w:r>
            <w:r>
              <w:t>Uplink transmission is not allowed at this band for UE with external vehicle-mounted antennas.</w:t>
            </w:r>
          </w:p>
          <w:p>
            <w:pPr>
              <w:pStyle w:val="66"/>
            </w:pPr>
            <w:r>
              <w:t>NOTE 4:</w:t>
            </w:r>
            <w:r>
              <w:tab/>
            </w:r>
            <w:r>
              <w:t>A UE that complies with the NR Band n65 minimum requirements in this specification shall also comply with the NR Band n1 minimum requirements.</w:t>
            </w:r>
          </w:p>
          <w:p>
            <w:pPr>
              <w:pStyle w:val="66"/>
            </w:pPr>
            <w:r>
              <w:t>NOTE 5:</w:t>
            </w:r>
            <w:r>
              <w:tab/>
            </w:r>
            <w:r>
              <w:t>FFS.</w:t>
            </w:r>
          </w:p>
          <w:p>
            <w:pPr>
              <w:pStyle w:val="66"/>
            </w:pPr>
            <w:r>
              <w:t>NOTE 6:</w:t>
            </w:r>
            <w:r>
              <w:tab/>
            </w:r>
            <w:r>
              <w:t>A UE that supports NR Band n66 shall receive in the entire DL operating band.</w:t>
            </w:r>
          </w:p>
          <w:p>
            <w:pPr>
              <w:pStyle w:val="66"/>
            </w:pPr>
            <w:r>
              <w:t>NOTE 7:</w:t>
            </w:r>
            <w:r>
              <w:tab/>
            </w:r>
            <w:r>
              <w:t>A UE that supports NR Band n66 and CA operation in any CA band shall also comply with the minimum requirements specified for the DL CA configurations CA_n66B and CA_n66(2A) in the current version of the specification.</w:t>
            </w:r>
          </w:p>
          <w:p>
            <w:pPr>
              <w:pStyle w:val="66"/>
              <w:rPr>
                <w:lang w:eastAsia="zh-CN"/>
              </w:rPr>
            </w:pPr>
            <w:r>
              <w:t xml:space="preserve">NOTE </w:t>
            </w:r>
            <w:r>
              <w:rPr>
                <w:lang w:eastAsia="zh-CN"/>
              </w:rPr>
              <w:t>8</w:t>
            </w:r>
            <w:r>
              <w:t>:</w:t>
            </w:r>
            <w:r>
              <w:tab/>
            </w:r>
            <w:r>
              <w:rPr>
                <w:lang w:eastAsia="zh-CN"/>
              </w:rPr>
              <w:t xml:space="preserve">This band is applicable in China only. </w:t>
            </w:r>
          </w:p>
          <w:p>
            <w:pPr>
              <w:pStyle w:val="66"/>
              <w:rPr>
                <w:lang w:eastAsia="zh-CN"/>
              </w:rPr>
            </w:pPr>
            <w:r>
              <w:rPr>
                <w:lang w:eastAsia="zh-CN"/>
              </w:rPr>
              <w:t>NOTE 9:</w:t>
            </w:r>
            <w:r>
              <w:rPr>
                <w:lang w:eastAsia="zh-CN"/>
              </w:rPr>
              <w:tab/>
            </w:r>
            <w:r>
              <w:t>Variable duplex operation does not enable dynamic variable duplex configuration by the network, and is used such that DL and UL frequency ranges are supported independently in any valid frequency range for the band.</w:t>
            </w:r>
          </w:p>
          <w:p>
            <w:pPr>
              <w:pStyle w:val="66"/>
            </w:pPr>
            <w:r>
              <w:rPr>
                <w:lang w:eastAsia="zh-CN"/>
              </w:rPr>
              <w:t>NOTE 10:</w:t>
            </w:r>
            <w:r>
              <w:rPr>
                <w:lang w:eastAsia="zh-CN"/>
              </w:rPr>
              <w:tab/>
            </w:r>
            <w:r>
              <w:t>When this band is used for V2X SL service, the band is exclusively used for NR V2X in particular regions.</w:t>
            </w:r>
          </w:p>
          <w:p>
            <w:pPr>
              <w:pStyle w:val="66"/>
            </w:pPr>
            <w:r>
              <w:t>NOTE 11:</w:t>
            </w:r>
            <w:r>
              <w:tab/>
            </w:r>
            <w:r>
              <w:t>This band is unlicensed band used for V2X service. There is no expected network deployment in this band.</w:t>
            </w:r>
          </w:p>
          <w:p>
            <w:pPr>
              <w:pStyle w:val="66"/>
            </w:pPr>
            <w:r>
              <w:t>NOTE 12:</w:t>
            </w:r>
            <w:r>
              <w:tab/>
            </w:r>
            <w:r>
              <w:t>In the USA this band is restricted to 3450 – 3550 MHz and 3700 – 3980 MHz. In Canada this band is restricted to 3450 – 3650 MHz and 3650 – 3980 MHz.</w:t>
            </w:r>
          </w:p>
          <w:p>
            <w:pPr>
              <w:pStyle w:val="66"/>
              <w:rPr>
                <w:lang w:eastAsia="zh-CN"/>
              </w:rPr>
            </w:pPr>
            <w:r>
              <w:t>NOTE 13:</w:t>
            </w:r>
            <w:r>
              <w:tab/>
            </w:r>
            <w:r>
              <w:t>This band is</w:t>
            </w:r>
            <w:r>
              <w:rPr>
                <w:lang w:eastAsia="zh-CN"/>
              </w:rPr>
              <w:t xml:space="preserve"> restricted to operation with shared spectrum channel access as defined in 37.213 [24].</w:t>
            </w:r>
          </w:p>
          <w:p>
            <w:pPr>
              <w:pStyle w:val="66"/>
            </w:pPr>
            <w:r>
              <w:t>NOTE 14:</w:t>
            </w:r>
            <w:r>
              <w:tab/>
            </w:r>
            <w:r>
              <w:t>This band is applicable only in countries/regions designating this band for shareds pectrum access use subject to country-specific conditions.</w:t>
            </w:r>
          </w:p>
          <w:p>
            <w:pPr>
              <w:pStyle w:val="66"/>
            </w:pPr>
            <w:r>
              <w:t>NOTE 15: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pPr>
              <w:pStyle w:val="66"/>
            </w:pPr>
            <w:r>
              <w:t>NOTE 16: DL operation in this band is restricted to 1526 – 1536 MHz and UL operation is restricted to 1627.5 – 1637.5 MHz and 1646.5 – 1656.5 MHz.</w:t>
            </w:r>
          </w:p>
          <w:p>
            <w:pPr>
              <w:pStyle w:val="66"/>
              <w:rPr>
                <w:rFonts w:eastAsia="Yu Mincho"/>
              </w:rPr>
            </w:pPr>
            <w:r>
              <w:rPr>
                <w:rFonts w:eastAsia="Yu Mincho"/>
              </w:rPr>
              <w:t>NOTE 17: For this band, CORESET#0 values from Table 13-5 or Table 13-6 in [8, TS 38.213] are applied regardless of the minimum channel bandwidth.</w:t>
            </w:r>
          </w:p>
          <w:p>
            <w:pPr>
              <w:pStyle w:val="66"/>
              <w:rPr>
                <w:rFonts w:eastAsia="Yu Mincho"/>
              </w:rPr>
            </w:pPr>
            <w:r>
              <w:rPr>
                <w:rFonts w:eastAsia="Yu Mincho"/>
              </w:rPr>
              <w:t>NOTE 18: This band is applicable only in countries/regions designating this band for IMT licensed operation subject to country-specific conditions.</w:t>
            </w:r>
          </w:p>
          <w:p>
            <w:pPr>
              <w:pStyle w:val="66"/>
              <w:rPr>
                <w:rFonts w:eastAsia="Yu Mincho"/>
              </w:rPr>
            </w:pPr>
            <w:r>
              <w:rPr>
                <w:rFonts w:eastAsia="Yu Mincho"/>
              </w:rPr>
              <w:t>NOTE 19: For SDL bands, downlink configuration for RRM performance testing is same as FDD.</w:t>
            </w:r>
          </w:p>
          <w:p>
            <w:pPr>
              <w:keepNext/>
              <w:keepLines/>
              <w:spacing w:after="0"/>
              <w:ind w:left="851" w:hanging="851"/>
              <w:rPr>
                <w:rFonts w:ascii="Arial" w:hAnsi="Arial" w:eastAsia="宋体"/>
                <w:sz w:val="18"/>
                <w:lang w:eastAsia="zh-CN"/>
              </w:rPr>
            </w:pPr>
            <w:r>
              <w:rPr>
                <w:rFonts w:ascii="Arial" w:hAnsi="Arial" w:eastAsia="宋体"/>
                <w:sz w:val="18"/>
                <w:lang w:eastAsia="zh-CN"/>
              </w:rPr>
              <w:t>NOTE 20: Operating band n200 is a reserved value.</w:t>
            </w:r>
          </w:p>
          <w:p>
            <w:pPr>
              <w:pStyle w:val="66"/>
              <w:rPr>
                <w:lang w:eastAsia="en-US"/>
              </w:rPr>
            </w:pPr>
            <w:r>
              <w:rPr>
                <w:lang w:eastAsia="en-US"/>
              </w:rPr>
              <w:t xml:space="preserve">NOTE 21: </w:t>
            </w:r>
            <w:r>
              <w:rPr>
                <w:rFonts w:eastAsia="Malgun Gothic"/>
                <w:lang w:eastAsia="fr-FR"/>
              </w:rPr>
              <w:t xml:space="preserve">This band is applicable only in countries subject to </w:t>
            </w:r>
            <w:r>
              <w:rPr>
                <w:lang w:eastAsia="en-US"/>
              </w:rPr>
              <w:t>ECC Decision (20)02</w:t>
            </w:r>
            <w:r>
              <w:rPr>
                <w:rFonts w:eastAsia="Malgun Gothic"/>
                <w:lang w:eastAsia="fr-FR"/>
              </w:rPr>
              <w:t xml:space="preserve"> [16], for the FRMCS application</w:t>
            </w:r>
            <w:r>
              <w:rPr>
                <w:lang w:eastAsia="en-US"/>
              </w:rPr>
              <w:t>.</w:t>
            </w:r>
          </w:p>
          <w:p>
            <w:pPr>
              <w:pStyle w:val="66"/>
            </w:pPr>
            <w:r>
              <w:rPr>
                <w:rFonts w:eastAsia="Yu Mincho"/>
              </w:rPr>
              <w:t>NOTE 22:</w:t>
            </w:r>
            <w:r>
              <w:rPr>
                <w:rFonts w:eastAsia="Yu Mincho"/>
              </w:rPr>
              <w:tab/>
            </w:r>
            <w:r>
              <w:rPr>
                <w:rFonts w:eastAsia="Yu Mincho"/>
              </w:rPr>
              <w:t>UL operation in this band is restricted to 1627.5 – 1637.5 MHz and 1646.5 – 1656.5 MHz.</w:t>
            </w:r>
          </w:p>
        </w:tc>
      </w:tr>
    </w:tbl>
    <w:p>
      <w:pPr>
        <w:rPr>
          <w:rFonts w:eastAsia="等线"/>
        </w:rPr>
      </w:pPr>
    </w:p>
    <w:p>
      <w:pPr>
        <w:pStyle w:val="83"/>
      </w:pPr>
      <w:r>
        <w:t>==============Next change==============</w:t>
      </w:r>
    </w:p>
    <w:p>
      <w:pPr>
        <w:pStyle w:val="4"/>
      </w:pPr>
      <w:bookmarkStart w:id="14" w:name="_Toc60823022"/>
      <w:bookmarkStart w:id="15" w:name="_Toc27477751"/>
      <w:bookmarkStart w:id="16" w:name="_Toc44323685"/>
      <w:bookmarkStart w:id="17" w:name="_Toc52989833"/>
      <w:bookmarkStart w:id="18" w:name="_Toc36226430"/>
      <w:bookmarkStart w:id="19" w:name="_Toc90916529"/>
      <w:bookmarkStart w:id="20" w:name="_Toc60824945"/>
      <w:bookmarkStart w:id="21" w:name="_Toc83720478"/>
      <w:bookmarkStart w:id="22" w:name="_Toc90916332"/>
      <w:bookmarkStart w:id="23" w:name="_Toc90917285"/>
      <w:bookmarkStart w:id="24" w:name="_Toc69309697"/>
      <w:bookmarkStart w:id="25" w:name="_Toc69305842"/>
      <w:bookmarkStart w:id="26" w:name="_Toc76020008"/>
      <w:r>
        <w:t>5.3.5</w:t>
      </w:r>
      <w:r>
        <w:tab/>
      </w:r>
      <w:r>
        <w:t>UE channel bandwidth per operating band</w:t>
      </w:r>
      <w:bookmarkEnd w:id="14"/>
      <w:bookmarkEnd w:id="15"/>
      <w:bookmarkEnd w:id="16"/>
      <w:bookmarkEnd w:id="17"/>
      <w:bookmarkEnd w:id="18"/>
      <w:bookmarkEnd w:id="19"/>
      <w:bookmarkEnd w:id="20"/>
      <w:bookmarkEnd w:id="21"/>
      <w:bookmarkEnd w:id="22"/>
      <w:bookmarkEnd w:id="23"/>
      <w:bookmarkEnd w:id="24"/>
      <w:bookmarkEnd w:id="25"/>
      <w:bookmarkEnd w:id="26"/>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bookmarkStart w:id="27" w:name="_Hlk170948769"/>
      <w:r>
        <w:t>Table 5.3.5-1</w:t>
      </w:r>
      <w:bookmarkEnd w:id="27"/>
      <w:r>
        <w:t>: Channel Bandwidths for each NR band</w:t>
      </w:r>
    </w:p>
    <w:tbl>
      <w:tblPr>
        <w:tblStyle w:val="42"/>
        <w:tblW w:w="9597" w:type="dxa"/>
        <w:tblInd w:w="37" w:type="dxa"/>
        <w:tblLayout w:type="fixed"/>
        <w:tblCellMar>
          <w:top w:w="0" w:type="dxa"/>
          <w:left w:w="108" w:type="dxa"/>
          <w:bottom w:w="0" w:type="dxa"/>
          <w:right w:w="108" w:type="dxa"/>
        </w:tblCellMar>
      </w:tblPr>
      <w:tblGrid>
        <w:gridCol w:w="728"/>
        <w:gridCol w:w="686"/>
        <w:gridCol w:w="470"/>
        <w:gridCol w:w="436"/>
        <w:gridCol w:w="576"/>
        <w:gridCol w:w="436"/>
        <w:gridCol w:w="505"/>
        <w:gridCol w:w="516"/>
        <w:gridCol w:w="567"/>
        <w:gridCol w:w="567"/>
        <w:gridCol w:w="567"/>
        <w:gridCol w:w="567"/>
        <w:gridCol w:w="567"/>
        <w:gridCol w:w="425"/>
        <w:gridCol w:w="478"/>
        <w:gridCol w:w="514"/>
        <w:gridCol w:w="508"/>
        <w:gridCol w:w="484"/>
      </w:tblGrid>
      <w:tr>
        <w:tblPrEx>
          <w:tblCellMar>
            <w:top w:w="0" w:type="dxa"/>
            <w:left w:w="108" w:type="dxa"/>
            <w:bottom w:w="0" w:type="dxa"/>
            <w:right w:w="108" w:type="dxa"/>
          </w:tblCellMar>
        </w:tblPrEx>
        <w:trPr>
          <w:tblHeader/>
        </w:trPr>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NR Band</w:t>
            </w:r>
          </w:p>
        </w:tc>
        <w:tc>
          <w:tcPr>
            <w:tcW w:w="686"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SCS</w:t>
            </w:r>
          </w:p>
          <w:p>
            <w:pPr>
              <w:pStyle w:val="51"/>
              <w:keepNext w:val="0"/>
              <w:keepLines w:val="0"/>
              <w:widowControl w:val="0"/>
            </w:pPr>
            <w:r>
              <w:t>(kHz)</w:t>
            </w:r>
          </w:p>
        </w:tc>
        <w:tc>
          <w:tcPr>
            <w:tcW w:w="8183" w:type="dxa"/>
            <w:gridSpan w:val="16"/>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UE Channel bandwidth (MHz)</w:t>
            </w:r>
          </w:p>
        </w:tc>
      </w:tr>
      <w:tr>
        <w:tblPrEx>
          <w:tblCellMar>
            <w:top w:w="0" w:type="dxa"/>
            <w:left w:w="108" w:type="dxa"/>
            <w:bottom w:w="0" w:type="dxa"/>
            <w:right w:w="108" w:type="dxa"/>
          </w:tblCellMar>
        </w:tblPrEx>
        <w:trPr>
          <w:tblHeader/>
        </w:trPr>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686"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宋体"/>
                <w:lang w:eastAsia="zh-CN"/>
              </w:rPr>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1"/>
              <w:keepNext w:val="0"/>
              <w:keepLines w:val="0"/>
              <w:widowControl w:val="0"/>
              <w:rPr>
                <w:lang w:eastAsia="zh-CN"/>
              </w:rPr>
            </w:pPr>
            <w:r>
              <w:rPr>
                <w:lang w:eastAsia="zh-CN"/>
              </w:rPr>
              <w:t>45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70</w:t>
            </w:r>
            <w:r>
              <w:rPr>
                <w:vertAlign w:val="superscript"/>
              </w:rPr>
              <w:t>6</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pPr>
            <w:r>
              <w:rPr>
                <w:rFonts w:eastAsia="Yu Mincho"/>
              </w:rPr>
              <w:t>90</w:t>
            </w:r>
            <w:r>
              <w:rPr>
                <w:rFonts w:eastAsia="Yu Mincho"/>
                <w:vertAlign w:val="superscript"/>
              </w:rPr>
              <w:t>6</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1"/>
              <w:keepNext w:val="0"/>
              <w:keepLines w:val="0"/>
              <w:widowControl w:val="0"/>
              <w:rPr>
                <w:rFonts w:eastAsia="Yu Mincho"/>
              </w:rPr>
            </w:pPr>
            <w:r>
              <w:rPr>
                <w:rFonts w:eastAsia="Yu Mincho"/>
              </w:rP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lang w:eastAsia="zh-CN"/>
              </w:rPr>
              <w:t>45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6</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ascii="Calibri" w:hAnsi="Calibri"/>
                <w:sz w:val="22"/>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r>
              <w:rPr>
                <w:lang w:eastAsia="zh-CN"/>
              </w:rPr>
              <w:t>45</w:t>
            </w:r>
            <w:r>
              <w:rPr>
                <w:rFonts w:eastAsia="MS Mincho"/>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3,14</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rFonts w:eastAsia="MS Mincho"/>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n12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n14</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Yu Mincho"/>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r>
              <w:t>n18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n24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n25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35</w:t>
            </w:r>
            <w:r>
              <w:rPr>
                <w:vertAlign w:val="superscript"/>
                <w:lang w:eastAsia="zh-CN"/>
              </w:rPr>
              <w:t>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40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宋体"/>
                <w:lang w:eastAsia="zh-CN"/>
              </w:rPr>
              <w:t>45</w:t>
            </w:r>
            <w:r>
              <w:rPr>
                <w:rFonts w:eastAsia="宋体"/>
                <w:vertAlign w:val="superscript"/>
                <w:lang w:eastAsia="zh-CN"/>
              </w:rPr>
              <w:t>3,12</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n26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cantSplit/>
        </w:trPr>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Lines w:val="0"/>
              <w:widowControl w:val="0"/>
            </w:pPr>
            <w:r>
              <w:t>n28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r>
              <w:rPr>
                <w:vertAlign w:val="superscript"/>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r>
              <w:rPr>
                <w:vertAlign w:val="superscript"/>
              </w:rPr>
              <w:t>6,9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4</w:t>
            </w:r>
            <w:r>
              <w:rPr>
                <w:rFonts w:hint="eastAsia" w:eastAsia="宋体"/>
                <w:lang w:val="en-US" w:eastAsia="zh-CN"/>
              </w:rPr>
              <w:t>0</w:t>
            </w:r>
            <w:r>
              <w:rPr>
                <w:rFonts w:hint="eastAsia" w:eastAsia="宋体"/>
                <w:vertAlign w:val="superscript"/>
                <w:lang w:val="en-US" w:eastAsia="zh-CN"/>
              </w:rPr>
              <w:t>9</w:t>
            </w:r>
            <w:r>
              <w:rPr>
                <w:rFonts w:eastAsia="宋体"/>
                <w:vertAlign w:val="superscript"/>
                <w:lang w:eastAsia="zh-CN"/>
              </w:rPr>
              <w:t>,18</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rPr>
          <w:cantSplit/>
        </w:trPr>
        <w:tc>
          <w:tcPr>
            <w:tcW w:w="728" w:type="dxa"/>
            <w:tcBorders>
              <w:left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r>
              <w:rPr>
                <w:vertAlign w:val="superscript"/>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r>
              <w:rPr>
                <w:vertAlign w:val="superscript"/>
              </w:rPr>
              <w:t>6,9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4</w:t>
            </w:r>
            <w:r>
              <w:rPr>
                <w:rFonts w:hint="eastAsia" w:eastAsia="宋体"/>
                <w:lang w:val="en-US" w:eastAsia="zh-CN"/>
              </w:rPr>
              <w:t>0</w:t>
            </w:r>
            <w:r>
              <w:rPr>
                <w:rFonts w:hint="eastAsia" w:eastAsia="宋体"/>
                <w:vertAlign w:val="superscript"/>
                <w:lang w:val="en-US" w:eastAsia="zh-CN"/>
              </w:rPr>
              <w:t>9</w:t>
            </w:r>
            <w:r>
              <w:rPr>
                <w:rFonts w:eastAsia="宋体"/>
                <w:vertAlign w:val="superscript"/>
                <w:lang w:eastAsia="zh-CN"/>
              </w:rPr>
              <w:t>,18</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rPr>
          <w:cantSplit/>
        </w:trPr>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r>
              <w:t>n29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n31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n38</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n39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r>
              <w:rPr>
                <w:rFonts w:eastAsia="宋体"/>
                <w:vertAlign w:val="superscript"/>
                <w:lang w:eastAsia="zh-CN"/>
              </w:rPr>
              <w:t>12,17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r>
              <w:rPr>
                <w:vertAlign w:val="superscript"/>
              </w:rPr>
              <w:t>7</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highlight w:val="yellow"/>
              </w:rPr>
            </w:pPr>
            <w:r>
              <w:t>n47</w:t>
            </w:r>
            <w:r>
              <w:rPr>
                <w:rFonts w:eastAsia="Malgun Gothic"/>
                <w:vertAlign w:val="superscript"/>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n48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r>
              <w:rPr>
                <w:vertAlign w:val="superscript"/>
              </w:rPr>
              <w:t>8</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r>
              <w:rPr>
                <w:vertAlign w:val="superscript"/>
              </w:rPr>
              <w:t>8</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8</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8</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90</w:t>
            </w:r>
            <w:r>
              <w:rPr>
                <w:vertAlign w:val="superscript"/>
              </w:rPr>
              <w:t>8,10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r>
              <w:rPr>
                <w:vertAlign w:val="superscript"/>
              </w:rPr>
              <w:t>8</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r>
              <w:rPr>
                <w:vertAlign w:val="superscript"/>
              </w:rPr>
              <w:t>7</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r>
              <w:rPr>
                <w:vertAlign w:val="superscript"/>
              </w:rPr>
              <w:t>3</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n51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n54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n66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rPr>
              <w:t>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rPr>
              <w:t>3</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r>
              <w:rPr>
                <w:vertAlign w:val="superscript"/>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n71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25</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30</w:t>
            </w:r>
            <w:r>
              <w:rPr>
                <w:rFonts w:eastAsia="宋体"/>
                <w:vertAlign w:val="superscript"/>
                <w:lang w:eastAsia="zh-CN"/>
              </w:rPr>
              <w:t>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r>
              <w:rPr>
                <w:rFonts w:eastAsia="宋体"/>
                <w:lang w:eastAsia="zh-CN"/>
              </w:rPr>
              <w:t>35</w:t>
            </w:r>
            <w:r>
              <w:rPr>
                <w:rFonts w:eastAsia="宋体"/>
                <w:vertAlign w:val="superscript"/>
                <w:lang w:eastAsia="zh-CN"/>
              </w:rPr>
              <w:t>12,15, 16</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r>
              <w:rPr>
                <w:vertAlign w:val="superscript"/>
              </w:rPr>
              <w:t>10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n78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70</w:t>
            </w:r>
            <w:r>
              <w:rPr>
                <w:vertAlign w:val="superscript"/>
              </w:rPr>
              <w:t>10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t>n79</w:t>
            </w:r>
            <w:r>
              <w:rPr>
                <w:rFonts w:eastAsia="宋体"/>
                <w:vertAlign w:val="superscript"/>
                <w:lang w:eastAsia="zh-CN"/>
              </w:rPr>
              <w:t>11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100</w:t>
            </w: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r>
              <w:rPr>
                <w:vertAlign w:val="superscript"/>
                <w:lang w:eastAsia="zh-CN"/>
              </w:rPr>
              <w:t>9</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r>
              <w:rPr>
                <w:vertAlign w:val="superscript"/>
                <w:lang w:eastAsia="zh-CN"/>
              </w:rPr>
              <w:t>9</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等线"/>
                <w:lang w:eastAsia="zh-CN"/>
              </w:rPr>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n85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Yu Mincho"/>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n86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rPr>
          <w:ins w:id="32" w:author="China Unicom" w:date="2025-11-07T17:04:11Z"/>
        </w:trPr>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ins w:id="33" w:author="China Unicom" w:date="2025-11-07T17:04:11Z"/>
              </w:rPr>
            </w:pPr>
            <w:ins w:id="34" w:author="China Unicom" w:date="2025-11-07T17:04:11Z">
              <w:r>
                <w:rPr>
                  <w:rFonts w:hint="eastAsia" w:eastAsia="等线"/>
                  <w:lang w:eastAsia="zh-CN"/>
                </w:rPr>
                <w:t>n87</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35" w:author="China Unicom" w:date="2025-11-07T17:04:11Z"/>
              </w:rPr>
            </w:pPr>
            <w:ins w:id="36" w:author="China Unicom" w:date="2025-11-07T17:04:11Z">
              <w:r>
                <w:rPr>
                  <w:rFonts w:hint="eastAsia"/>
                  <w:lang w:eastAsia="zh-CN"/>
                </w:rPr>
                <w:t>1</w:t>
              </w:r>
            </w:ins>
            <w:ins w:id="37" w:author="China Unicom" w:date="2025-11-07T17:04:11Z">
              <w:r>
                <w:rPr>
                  <w:rFonts w:hint="eastAsia" w:eastAsia="Yu Mincho"/>
                </w:rPr>
                <w:t>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38" w:author="China Unicom" w:date="2025-11-07T17:04:11Z"/>
              </w:rPr>
            </w:pPr>
            <w:ins w:id="39" w:author="China Unicom" w:date="2025-11-07T17:04:11Z">
              <w:r>
                <w:rPr>
                  <w:rFonts w:hint="eastAsia"/>
                  <w:lang w:eastAsia="zh-CN"/>
                </w:rPr>
                <w:t>3</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40" w:author="China Unicom" w:date="2025-11-07T17:04:11Z"/>
              </w:rPr>
            </w:pPr>
            <w:ins w:id="41" w:author="China Unicom" w:date="2025-11-07T17:04:11Z">
              <w:r>
                <w:rPr>
                  <w:rFonts w:hint="eastAsia"/>
                  <w:lang w:eastAsia="zh-CN"/>
                </w:rPr>
                <w:t>5</w:t>
              </w:r>
            </w:ins>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2" w:author="China Unicom" w:date="2025-11-07T17:04:11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3" w:author="China Unicom" w:date="2025-11-07T17:04:11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4" w:author="China Unicom" w:date="2025-11-07T17:04:11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5"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6"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7"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48"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49"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0" w:author="China Unicom" w:date="2025-11-07T17:04:11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1" w:author="China Unicom" w:date="2025-11-07T17:04:11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2" w:author="China Unicom" w:date="2025-11-07T17:04:11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3" w:author="China Unicom" w:date="2025-11-07T17:04:11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4" w:author="China Unicom" w:date="2025-11-07T17:04:11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5" w:author="China Unicom" w:date="2025-11-07T17:04:11Z"/>
              </w:rPr>
            </w:pPr>
          </w:p>
        </w:tc>
      </w:tr>
      <w:tr>
        <w:tblPrEx>
          <w:tblCellMar>
            <w:top w:w="0" w:type="dxa"/>
            <w:left w:w="108" w:type="dxa"/>
            <w:bottom w:w="0" w:type="dxa"/>
            <w:right w:w="108" w:type="dxa"/>
          </w:tblCellMar>
        </w:tblPrEx>
        <w:trPr>
          <w:ins w:id="56" w:author="China Unicom" w:date="2025-11-07T17:04:11Z"/>
        </w:trPr>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rPr>
                <w:ins w:id="57" w:author="China Unicom" w:date="2025-11-07T17:04:11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58" w:author="China Unicom" w:date="2025-11-07T17:04:11Z"/>
              </w:rPr>
            </w:pPr>
            <w:ins w:id="59" w:author="China Unicom" w:date="2025-11-07T17:04:11Z">
              <w:r>
                <w:rPr>
                  <w:rFonts w:hint="eastAsia"/>
                  <w:lang w:eastAsia="zh-CN"/>
                </w:rPr>
                <w:t>30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60" w:author="China Unicom" w:date="2025-11-07T17:04:11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61" w:author="China Unicom" w:date="2025-11-07T17:04:11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2" w:author="China Unicom" w:date="2025-11-07T17:04:11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3" w:author="China Unicom" w:date="2025-11-07T17:04:11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4" w:author="China Unicom" w:date="2025-11-07T17:04:11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5"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6"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7"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68"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69"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0" w:author="China Unicom" w:date="2025-11-07T17:04:11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1" w:author="China Unicom" w:date="2025-11-07T17:04:11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2" w:author="China Unicom" w:date="2025-11-07T17:04:11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3" w:author="China Unicom" w:date="2025-11-07T17:04:11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4" w:author="China Unicom" w:date="2025-11-07T17:04:11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5" w:author="China Unicom" w:date="2025-11-07T17:04:11Z"/>
              </w:rPr>
            </w:pPr>
          </w:p>
        </w:tc>
      </w:tr>
      <w:tr>
        <w:tblPrEx>
          <w:tblCellMar>
            <w:top w:w="0" w:type="dxa"/>
            <w:left w:w="108" w:type="dxa"/>
            <w:bottom w:w="0" w:type="dxa"/>
            <w:right w:w="108" w:type="dxa"/>
          </w:tblCellMar>
        </w:tblPrEx>
        <w:trPr>
          <w:ins w:id="76" w:author="China Unicom" w:date="2025-11-07T17:04:11Z"/>
        </w:trPr>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7" w:author="China Unicom" w:date="2025-11-07T17:04:11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78" w:author="China Unicom" w:date="2025-11-07T17:04:11Z"/>
              </w:rPr>
            </w:pPr>
            <w:ins w:id="79" w:author="China Unicom" w:date="2025-11-07T17:04:11Z">
              <w:r>
                <w:rPr>
                  <w:rFonts w:hint="eastAsia"/>
                  <w:lang w:eastAsia="zh-CN"/>
                </w:rPr>
                <w:t>60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80" w:author="China Unicom" w:date="2025-11-07T17:04:11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81" w:author="China Unicom" w:date="2025-11-07T17:04:11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2" w:author="China Unicom" w:date="2025-11-07T17:04:11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3" w:author="China Unicom" w:date="2025-11-07T17:04:11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4" w:author="China Unicom" w:date="2025-11-07T17:04:11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5"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6"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7"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88"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89"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0" w:author="China Unicom" w:date="2025-11-07T17:04:11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1" w:author="China Unicom" w:date="2025-11-07T17:04:11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2" w:author="China Unicom" w:date="2025-11-07T17:04:11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3" w:author="China Unicom" w:date="2025-11-07T17:04:11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4" w:author="China Unicom" w:date="2025-11-07T17:04:11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5" w:author="China Unicom" w:date="2025-11-07T17:04:11Z"/>
              </w:rPr>
            </w:pPr>
          </w:p>
        </w:tc>
      </w:tr>
      <w:tr>
        <w:tblPrEx>
          <w:tblCellMar>
            <w:top w:w="0" w:type="dxa"/>
            <w:left w:w="108" w:type="dxa"/>
            <w:bottom w:w="0" w:type="dxa"/>
            <w:right w:w="108" w:type="dxa"/>
          </w:tblCellMar>
        </w:tblPrEx>
        <w:trPr>
          <w:ins w:id="96" w:author="China Unicom" w:date="2025-11-07T17:04:11Z"/>
        </w:trPr>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ins w:id="97" w:author="China Unicom" w:date="2025-11-07T17:04:11Z"/>
              </w:rPr>
            </w:pPr>
            <w:ins w:id="98" w:author="China Unicom" w:date="2025-11-07T17:04:11Z">
              <w:r>
                <w:rPr>
                  <w:rFonts w:hint="eastAsia" w:eastAsia="等线"/>
                  <w:lang w:eastAsia="zh-CN"/>
                </w:rPr>
                <w:t>n88</w:t>
              </w:r>
            </w:ins>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99" w:author="China Unicom" w:date="2025-11-07T17:04:11Z"/>
              </w:rPr>
            </w:pPr>
            <w:ins w:id="100" w:author="China Unicom" w:date="2025-11-07T17:04:11Z">
              <w:r>
                <w:rPr>
                  <w:rFonts w:hint="eastAsia"/>
                  <w:lang w:eastAsia="zh-CN"/>
                </w:rPr>
                <w:t>15</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01" w:author="China Unicom" w:date="2025-11-07T17:04:11Z"/>
              </w:rPr>
            </w:pPr>
            <w:ins w:id="102" w:author="China Unicom" w:date="2025-11-07T17:04:11Z">
              <w:r>
                <w:rPr>
                  <w:rFonts w:hint="eastAsia"/>
                  <w:lang w:eastAsia="zh-CN"/>
                </w:rPr>
                <w:t>3</w:t>
              </w:r>
            </w:ins>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03" w:author="China Unicom" w:date="2025-11-07T17:04:11Z"/>
              </w:rPr>
            </w:pPr>
            <w:ins w:id="104" w:author="China Unicom" w:date="2025-11-07T17:04:11Z">
              <w:r>
                <w:rPr>
                  <w:rFonts w:hint="eastAsia"/>
                  <w:lang w:eastAsia="zh-CN"/>
                </w:rPr>
                <w:t>5</w:t>
              </w:r>
            </w:ins>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5" w:author="China Unicom" w:date="2025-11-07T17:04:11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6" w:author="China Unicom" w:date="2025-11-07T17:04:11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7" w:author="China Unicom" w:date="2025-11-07T17:04:11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8"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09"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0"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1"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12"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3" w:author="China Unicom" w:date="2025-11-07T17:04:11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4" w:author="China Unicom" w:date="2025-11-07T17:04:11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5" w:author="China Unicom" w:date="2025-11-07T17:04:11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6" w:author="China Unicom" w:date="2025-11-07T17:04:11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7" w:author="China Unicom" w:date="2025-11-07T17:04:11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18" w:author="China Unicom" w:date="2025-11-07T17:04:11Z"/>
              </w:rPr>
            </w:pPr>
          </w:p>
        </w:tc>
      </w:tr>
      <w:tr>
        <w:tblPrEx>
          <w:tblCellMar>
            <w:top w:w="0" w:type="dxa"/>
            <w:left w:w="108" w:type="dxa"/>
            <w:bottom w:w="0" w:type="dxa"/>
            <w:right w:w="108" w:type="dxa"/>
          </w:tblCellMar>
        </w:tblPrEx>
        <w:trPr>
          <w:ins w:id="119" w:author="China Unicom" w:date="2025-11-07T17:04:11Z"/>
        </w:trPr>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rPr>
                <w:ins w:id="120" w:author="China Unicom" w:date="2025-11-07T17:04:11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1" w:author="China Unicom" w:date="2025-11-07T17:04:11Z"/>
              </w:rPr>
            </w:pPr>
            <w:ins w:id="122" w:author="China Unicom" w:date="2025-11-07T17:04:11Z">
              <w:r>
                <w:rPr>
                  <w:rFonts w:hint="eastAsia"/>
                  <w:lang w:eastAsia="zh-CN"/>
                </w:rPr>
                <w:t>30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23" w:author="China Unicom" w:date="2025-11-07T17:04:11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24" w:author="China Unicom" w:date="2025-11-07T17:04:11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5" w:author="China Unicom" w:date="2025-11-07T17:04:11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6" w:author="China Unicom" w:date="2025-11-07T17:04:11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7" w:author="China Unicom" w:date="2025-11-07T17:04:11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8"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29"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0"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1"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32"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3" w:author="China Unicom" w:date="2025-11-07T17:04:11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4" w:author="China Unicom" w:date="2025-11-07T17:04:11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5" w:author="China Unicom" w:date="2025-11-07T17:04:11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6" w:author="China Unicom" w:date="2025-11-07T17:04:11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7" w:author="China Unicom" w:date="2025-11-07T17:04:11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38" w:author="China Unicom" w:date="2025-11-07T17:04:11Z"/>
              </w:rPr>
            </w:pPr>
          </w:p>
        </w:tc>
      </w:tr>
      <w:tr>
        <w:tblPrEx>
          <w:tblCellMar>
            <w:top w:w="0" w:type="dxa"/>
            <w:left w:w="108" w:type="dxa"/>
            <w:bottom w:w="0" w:type="dxa"/>
            <w:right w:w="108" w:type="dxa"/>
          </w:tblCellMar>
        </w:tblPrEx>
        <w:trPr>
          <w:ins w:id="139" w:author="China Unicom" w:date="2025-11-07T17:04:11Z"/>
        </w:trPr>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0" w:author="China Unicom" w:date="2025-11-07T17:04:11Z"/>
              </w:rPr>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1" w:author="China Unicom" w:date="2025-11-07T17:04:11Z"/>
              </w:rPr>
            </w:pPr>
            <w:ins w:id="142" w:author="China Unicom" w:date="2025-11-07T17:04:11Z">
              <w:r>
                <w:rPr>
                  <w:rFonts w:hint="eastAsia"/>
                  <w:lang w:eastAsia="zh-CN"/>
                </w:rPr>
                <w:t>60</w:t>
              </w:r>
            </w:ins>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43" w:author="China Unicom" w:date="2025-11-07T17:04:11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44" w:author="China Unicom" w:date="2025-11-07T17:04:11Z"/>
              </w:rPr>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5" w:author="China Unicom" w:date="2025-11-07T17:04:11Z"/>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6" w:author="China Unicom" w:date="2025-11-07T17:04:11Z"/>
              </w:rPr>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7" w:author="China Unicom" w:date="2025-11-07T17:04:11Z"/>
              </w:rPr>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8"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49"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0"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1"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ins w:id="152" w:author="China Unicom" w:date="2025-11-07T17:04:11Z"/>
              </w:rPr>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3" w:author="China Unicom" w:date="2025-11-07T17:04:11Z"/>
              </w:rPr>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4" w:author="China Unicom" w:date="2025-11-07T17:04:11Z"/>
              </w:rPr>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5" w:author="China Unicom" w:date="2025-11-07T17:04:11Z"/>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6" w:author="China Unicom" w:date="2025-11-07T17:04:11Z"/>
              </w:rPr>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7" w:author="China Unicom" w:date="2025-11-07T17:04:11Z"/>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ins w:id="158" w:author="China Unicom" w:date="2025-11-07T17:04:11Z"/>
              </w:rPr>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n91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n92</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n93</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r>
              <w:rPr>
                <w:rFonts w:eastAsia="宋体"/>
                <w:vertAlign w:val="superscript"/>
                <w:lang w:eastAsia="zh-CN"/>
              </w:rPr>
              <w:t>13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n94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等线"/>
                <w:lang w:eastAsia="zh-CN"/>
              </w:rPr>
              <w:t>n96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n97</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rPr>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r>
              <w:rPr>
                <w:lang w:eastAsia="zh-CN"/>
              </w:rPr>
              <w:t>100</w:t>
            </w: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n98</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lang w:eastAsia="zh-CN"/>
              </w:rPr>
            </w:pPr>
          </w:p>
        </w:tc>
      </w:tr>
      <w:tr>
        <w:tblPrEx>
          <w:tblCellMar>
            <w:top w:w="0" w:type="dxa"/>
            <w:left w:w="108" w:type="dxa"/>
            <w:bottom w:w="0" w:type="dxa"/>
            <w:right w:w="108" w:type="dxa"/>
          </w:tblCellMar>
        </w:tblPrEx>
        <w:tc>
          <w:tcPr>
            <w:tcW w:w="728" w:type="dxa"/>
            <w:vMerge w:val="restart"/>
            <w:tcBorders>
              <w:top w:val="nil"/>
              <w:left w:val="single" w:color="auto" w:sz="4" w:space="0"/>
              <w:right w:val="single" w:color="auto" w:sz="4" w:space="0"/>
            </w:tcBorders>
            <w:tcMar>
              <w:left w:w="28" w:type="dxa"/>
              <w:right w:w="28" w:type="dxa"/>
            </w:tcMar>
            <w:vAlign w:val="center"/>
          </w:tcPr>
          <w:p>
            <w:pPr>
              <w:pStyle w:val="52"/>
              <w:keepNext w:val="0"/>
              <w:keepLines w:val="0"/>
              <w:widowControl w:val="0"/>
            </w:pPr>
            <w:r>
              <w:rPr>
                <w:lang w:eastAsia="zh-CN"/>
              </w:rPr>
              <w:t>n99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Yu Mincho"/>
                <w:lang w:eastAsia="zh-CN"/>
              </w:rPr>
            </w:pPr>
            <w: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n100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Yu Mincho"/>
              </w:rPr>
              <w:t>3</w:t>
            </w:r>
            <w:r>
              <w:rPr>
                <w:rFonts w:eastAsia="Yu Mincho"/>
                <w:vertAlign w:val="superscript"/>
              </w:rPr>
              <w:t>14</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restart"/>
            <w:tcBorders>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n101</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vMerge w:val="continue"/>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n104</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100</w:t>
            </w:r>
          </w:p>
        </w:tc>
      </w:tr>
      <w:tr>
        <w:tblPrEx>
          <w:tblCellMar>
            <w:top w:w="0" w:type="dxa"/>
            <w:left w:w="108" w:type="dxa"/>
            <w:bottom w:w="0" w:type="dxa"/>
            <w:right w:w="108" w:type="dxa"/>
          </w:tblCellMar>
        </w:tblPrEx>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40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50</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60</w:t>
            </w: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70</w:t>
            </w: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80</w:t>
            </w: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90</w:t>
            </w: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100</w:t>
            </w: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n105</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35</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rPr>
                <w:rFonts w:eastAsia="宋体"/>
                <w:lang w:eastAsia="zh-CN"/>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t>n106</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r>
              <w:rPr>
                <w:rFonts w:eastAsia="Yu Mincho"/>
              </w:rP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eastAsia="zh-CN"/>
              </w:rPr>
            </w:pPr>
            <w:r>
              <w:rPr>
                <w:rFonts w:eastAsia="宋体"/>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single" w:color="auto" w:sz="4" w:space="0"/>
              <w:left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n109</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rPr>
            </w:pPr>
            <w:r>
              <w:rPr>
                <w:rFonts w:eastAsia="宋体"/>
                <w:lang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w:t>
            </w: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50</w:t>
            </w:r>
            <w:r>
              <w:rPr>
                <w:rFonts w:eastAsia="宋体"/>
                <w:vertAlign w:val="superscript"/>
                <w:lang w:eastAsia="zh-CN"/>
              </w:rPr>
              <w:t>3</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rPr>
            </w:pPr>
            <w:r>
              <w:rPr>
                <w:rFonts w:eastAsia="宋体"/>
                <w:lang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10</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15</w:t>
            </w: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20</w:t>
            </w: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25</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30</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40</w:t>
            </w:r>
            <w:r>
              <w:rPr>
                <w:rFonts w:eastAsia="宋体"/>
                <w:vertAlign w:val="superscript"/>
                <w:lang w:eastAsia="zh-CN"/>
              </w:rPr>
              <w:t>3</w:t>
            </w: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r>
              <w:rPr>
                <w:rFonts w:eastAsia="宋体"/>
                <w:lang w:eastAsia="zh-CN"/>
              </w:rPr>
              <w:t>50</w:t>
            </w:r>
            <w:r>
              <w:rPr>
                <w:rFonts w:eastAsia="宋体"/>
                <w:vertAlign w:val="superscript"/>
                <w:lang w:eastAsia="zh-CN"/>
              </w:rPr>
              <w:t>3</w:t>
            </w: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rPr>
            </w:pPr>
            <w:r>
              <w:rPr>
                <w:rFonts w:eastAsia="宋体"/>
                <w:lang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left w:val="single" w:color="auto" w:sz="4" w:space="0"/>
              <w:bottom w:val="nil"/>
              <w:right w:val="single" w:color="auto" w:sz="4" w:space="0"/>
            </w:tcBorders>
            <w:tcMar>
              <w:left w:w="28" w:type="dxa"/>
              <w:right w:w="28" w:type="dxa"/>
            </w:tcMar>
            <w:vAlign w:val="center"/>
          </w:tcPr>
          <w:p>
            <w:pPr>
              <w:pStyle w:val="52"/>
              <w:keepNext w:val="0"/>
              <w:keepLines w:val="0"/>
              <w:widowControl w:val="0"/>
              <w:rPr>
                <w:rFonts w:eastAsia="宋体"/>
                <w:lang w:val="en-US" w:eastAsia="zh-CN"/>
              </w:rPr>
            </w:pPr>
            <w:r>
              <w:rPr>
                <w:rFonts w:hint="eastAsia" w:eastAsia="宋体"/>
                <w:lang w:val="en-US" w:eastAsia="zh-CN"/>
              </w:rPr>
              <w:t>n110</w:t>
            </w: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val="en-US" w:eastAsia="zh-CN"/>
              </w:rPr>
            </w:pPr>
            <w:r>
              <w:rPr>
                <w:rFonts w:hint="eastAsia" w:eastAsia="宋体"/>
                <w:lang w:val="en-US" w:eastAsia="zh-CN"/>
              </w:rPr>
              <w:t>15</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val="en-US" w:eastAsia="zh-CN"/>
              </w:rPr>
            </w:pPr>
            <w:r>
              <w:rPr>
                <w:rFonts w:hint="eastAsia" w:eastAsia="宋体"/>
                <w:lang w:val="en-US" w:eastAsia="zh-CN"/>
              </w:rPr>
              <w:t>3</w:t>
            </w: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nil"/>
              <w:left w:val="single" w:color="auto" w:sz="4" w:space="0"/>
              <w:bottom w:val="nil"/>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val="en-US" w:eastAsia="zh-CN"/>
              </w:rPr>
            </w:pPr>
            <w:r>
              <w:rPr>
                <w:rFonts w:hint="eastAsia" w:eastAsia="宋体"/>
                <w:lang w:val="en-US" w:eastAsia="zh-CN"/>
              </w:rPr>
              <w:t>30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728" w:type="dxa"/>
            <w:tcBorders>
              <w:top w:val="nil"/>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68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rPr>
                <w:rFonts w:eastAsia="宋体"/>
                <w:lang w:val="en-US" w:eastAsia="zh-CN"/>
              </w:rPr>
            </w:pPr>
            <w:r>
              <w:rPr>
                <w:rFonts w:hint="eastAsia" w:eastAsia="宋体"/>
                <w:lang w:val="en-US" w:eastAsia="zh-CN"/>
              </w:rPr>
              <w:t>60</w:t>
            </w:r>
          </w:p>
        </w:tc>
        <w:tc>
          <w:tcPr>
            <w:tcW w:w="470"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7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3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6"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keepNext w:val="0"/>
              <w:keepLines w:val="0"/>
              <w:widowControl w:val="0"/>
            </w:pPr>
          </w:p>
        </w:tc>
        <w:tc>
          <w:tcPr>
            <w:tcW w:w="567"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2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7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1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508"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c>
          <w:tcPr>
            <w:tcW w:w="48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keepNext w:val="0"/>
              <w:keepLines w:val="0"/>
              <w:widowControl w:val="0"/>
            </w:pPr>
          </w:p>
        </w:tc>
      </w:tr>
      <w:tr>
        <w:tblPrEx>
          <w:tblCellMar>
            <w:top w:w="0" w:type="dxa"/>
            <w:left w:w="108" w:type="dxa"/>
            <w:bottom w:w="0" w:type="dxa"/>
            <w:right w:w="108" w:type="dxa"/>
          </w:tblCellMar>
        </w:tblPrEx>
        <w:tc>
          <w:tcPr>
            <w:tcW w:w="9597" w:type="dxa"/>
            <w:gridSpan w:val="18"/>
            <w:tcBorders>
              <w:top w:val="nil"/>
              <w:left w:val="single" w:color="auto" w:sz="4" w:space="0"/>
              <w:bottom w:val="single" w:color="auto" w:sz="4" w:space="0"/>
              <w:right w:val="single" w:color="auto" w:sz="4" w:space="0"/>
            </w:tcBorders>
          </w:tcPr>
          <w:p>
            <w:pPr>
              <w:pStyle w:val="66"/>
              <w:keepNext w:val="0"/>
              <w:keepLines w:val="0"/>
              <w:widowControl w:val="0"/>
            </w:pPr>
            <w:r>
              <w:t>NOTE 1:</w:t>
            </w:r>
            <w:r>
              <w:tab/>
            </w:r>
            <w:r>
              <w:t>Void.</w:t>
            </w:r>
          </w:p>
          <w:p>
            <w:pPr>
              <w:pStyle w:val="66"/>
              <w:keepNext w:val="0"/>
              <w:keepLines w:val="0"/>
              <w:widowControl w:val="0"/>
            </w:pPr>
            <w:r>
              <w:t>NOTE 2:</w:t>
            </w:r>
            <w:r>
              <w:tab/>
            </w:r>
            <w:r>
              <w:t>Void.</w:t>
            </w:r>
          </w:p>
          <w:p>
            <w:pPr>
              <w:pStyle w:val="66"/>
              <w:keepNext w:val="0"/>
              <w:keepLines w:val="0"/>
              <w:widowControl w:val="0"/>
              <w:rPr>
                <w:rFonts w:eastAsia="Yu Mincho"/>
              </w:rPr>
            </w:pPr>
            <w:r>
              <w:rPr>
                <w:rFonts w:eastAsia="Yu Mincho"/>
              </w:rPr>
              <w:t>NOTE 3:</w:t>
            </w:r>
            <w:r>
              <w:rPr>
                <w:rFonts w:eastAsia="Yu Mincho"/>
              </w:rPr>
              <w:tab/>
            </w:r>
            <w:r>
              <w:rPr>
                <w:rFonts w:eastAsia="Yu Mincho"/>
              </w:rPr>
              <w:t>This UE channel bandwidth is applicable only to downlink.</w:t>
            </w:r>
          </w:p>
          <w:p>
            <w:pPr>
              <w:pStyle w:val="66"/>
              <w:keepNext w:val="0"/>
              <w:keepLines w:val="0"/>
              <w:widowControl w:val="0"/>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keepNext w:val="0"/>
              <w:keepLines w:val="0"/>
              <w:widowControl w:val="0"/>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keepNext w:val="0"/>
              <w:keepLines w:val="0"/>
              <w:widowControl w:val="0"/>
              <w:rPr>
                <w:rFonts w:eastAsia="Yu Mincho"/>
              </w:rPr>
            </w:pPr>
            <w:r>
              <w:rPr>
                <w:rFonts w:eastAsia="Yu Mincho"/>
              </w:rPr>
              <w:t>NOTE 6:</w:t>
            </w:r>
            <w:r>
              <w:rPr>
                <w:rFonts w:eastAsia="Yu Mincho"/>
              </w:rPr>
              <w:tab/>
            </w:r>
            <w:r>
              <w:rPr>
                <w:rFonts w:eastAsia="Yu Mincho"/>
              </w:rPr>
              <w:t>This UE channel bandwidth is optional in R15.</w:t>
            </w:r>
          </w:p>
          <w:p>
            <w:pPr>
              <w:pStyle w:val="66"/>
              <w:keepNext w:val="0"/>
              <w:keepLines w:val="0"/>
              <w:widowControl w:val="0"/>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keepNext w:val="0"/>
              <w:keepLines w:val="0"/>
              <w:widowControl w:val="0"/>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keepNext w:val="0"/>
              <w:keepLines w:val="0"/>
              <w:widowControl w:val="0"/>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r>
              <w:rPr>
                <w:rFonts w:eastAsia="Yu Mincho"/>
              </w:rPr>
              <w:br w:type="textWrapping"/>
            </w:r>
            <w:r>
              <w:rPr>
                <w:rFonts w:eastAsia="Yu Mincho"/>
              </w:rPr>
              <w:t xml:space="preserve">For </w:t>
            </w:r>
            <w:r>
              <w:rPr>
                <w:rFonts w:hint="eastAsia" w:eastAsia="宋体"/>
                <w:lang w:val="en-US" w:eastAsia="zh-CN"/>
              </w:rPr>
              <w:t>the</w:t>
            </w:r>
            <w:r>
              <w:rPr>
                <w:rFonts w:eastAsia="Yu Mincho"/>
              </w:rPr>
              <w:t xml:space="preserve"> 40</w:t>
            </w:r>
            <w:r>
              <w:rPr>
                <w:rFonts w:hint="eastAsia" w:eastAsia="Yu Mincho"/>
              </w:rPr>
              <w:t xml:space="preserve"> </w:t>
            </w:r>
            <w:r>
              <w:rPr>
                <w:rFonts w:eastAsia="Yu Mincho"/>
              </w:rPr>
              <w:t xml:space="preserve">MHz bandwidth, the minimum requirements are specified for </w:t>
            </w:r>
            <w:r>
              <w:rPr>
                <w:rFonts w:hint="eastAsia" w:eastAsia="Yu Mincho"/>
              </w:rPr>
              <w:t xml:space="preserve">any </w:t>
            </w:r>
            <w:r>
              <w:rPr>
                <w:rFonts w:eastAsia="Yu Mincho"/>
              </w:rPr>
              <w:t>NR UL channel bandwidth confined to 703-743.04</w:t>
            </w:r>
            <w:r>
              <w:rPr>
                <w:rFonts w:hint="eastAsia" w:eastAsia="Yu Mincho"/>
              </w:rPr>
              <w:t xml:space="preserve"> </w:t>
            </w:r>
            <w:r>
              <w:rPr>
                <w:rFonts w:eastAsia="Yu Mincho"/>
              </w:rPr>
              <w:t>MHz or 718-748MHz.</w:t>
            </w:r>
          </w:p>
          <w:p>
            <w:pPr>
              <w:pStyle w:val="66"/>
              <w:keepNext w:val="0"/>
              <w:keepLines w:val="0"/>
              <w:widowControl w:val="0"/>
              <w:rPr>
                <w:rFonts w:eastAsia="Yu Mincho"/>
              </w:rPr>
            </w:pPr>
            <w:r>
              <w:rPr>
                <w:rFonts w:eastAsia="Yu Mincho"/>
              </w:rPr>
              <w:t>NOTE 10:</w:t>
            </w:r>
            <w:r>
              <w:rPr>
                <w:rFonts w:eastAsia="Yu Mincho"/>
              </w:rPr>
              <w:tab/>
            </w:r>
            <w:r>
              <w:rPr>
                <w:rFonts w:eastAsia="Yu Mincho"/>
              </w:rPr>
              <w:t>This UE channel bandwidth is optional in R16.</w:t>
            </w:r>
          </w:p>
          <w:p>
            <w:pPr>
              <w:pStyle w:val="66"/>
              <w:keepNext w:val="0"/>
              <w:keepLines w:val="0"/>
              <w:widowControl w:val="0"/>
              <w:rPr>
                <w:rFonts w:eastAsia="Yu Mincho"/>
              </w:rPr>
            </w:pPr>
            <w:r>
              <w:rPr>
                <w:rFonts w:eastAsia="Yu Mincho"/>
              </w:rPr>
              <w:t>NOTE 11:</w:t>
            </w:r>
            <w:r>
              <w:rPr>
                <w:rFonts w:eastAsia="Yu Mincho"/>
              </w:rPr>
              <w:tab/>
            </w:r>
            <w:r>
              <w:rPr>
                <w:rFonts w:eastAsia="宋体"/>
                <w:lang w:eastAsia="zh-CN"/>
              </w:rPr>
              <w:t xml:space="preserve">For this band, </w:t>
            </w:r>
            <w:r>
              <w:rPr>
                <w:rFonts w:eastAsia="Yu Mincho"/>
              </w:rPr>
              <w:t xml:space="preserve">UE channel bandwidths </w:t>
            </w:r>
            <w:r>
              <w:rPr>
                <w:rFonts w:eastAsia="宋体"/>
                <w:lang w:eastAsia="zh-CN"/>
              </w:rPr>
              <w:t xml:space="preserve">which </w:t>
            </w:r>
            <w:r>
              <w:rPr>
                <w:rFonts w:eastAsia="Yu Mincho"/>
              </w:rPr>
              <w:t>are applicable to sidelink operation</w:t>
            </w:r>
            <w:r>
              <w:rPr>
                <w:rFonts w:eastAsia="宋体"/>
                <w:lang w:eastAsia="zh-CN"/>
              </w:rPr>
              <w:t xml:space="preserve"> </w:t>
            </w:r>
            <w:r>
              <w:rPr>
                <w:rFonts w:eastAsia="Yu Mincho"/>
              </w:rPr>
              <w:t>are specified in Table 5.3E.1-1.</w:t>
            </w:r>
          </w:p>
          <w:p>
            <w:pPr>
              <w:pStyle w:val="66"/>
              <w:keepNext w:val="0"/>
              <w:keepLines w:val="0"/>
              <w:widowControl w:val="0"/>
              <w:rPr>
                <w:rFonts w:eastAsia="Yu Mincho"/>
              </w:rPr>
            </w:pPr>
            <w:r>
              <w:rPr>
                <w:lang w:eastAsia="zh-CN"/>
              </w:rPr>
              <w:t>NOTE 12:</w:t>
            </w:r>
            <w:r>
              <w:rPr>
                <w:lang w:eastAsia="zh-CN"/>
              </w:rPr>
              <w:tab/>
            </w:r>
            <w:r>
              <w:rPr>
                <w:rFonts w:eastAsia="Yu Mincho"/>
              </w:rPr>
              <w:t>This UE channel bandwidth is optional in R17.</w:t>
            </w:r>
          </w:p>
          <w:p>
            <w:pPr>
              <w:pStyle w:val="66"/>
              <w:keepNext w:val="0"/>
              <w:keepLines w:val="0"/>
              <w:widowControl w:val="0"/>
              <w:rPr>
                <w:rFonts w:eastAsia="Yu Mincho"/>
                <w:lang w:eastAsia="zh-CN"/>
              </w:rPr>
            </w:pPr>
            <w:r>
              <w:rPr>
                <w:rFonts w:eastAsia="Yu Mincho"/>
                <w:lang w:eastAsia="zh-CN"/>
              </w:rPr>
              <w:t>NOTE 13:</w:t>
            </w:r>
            <w:r>
              <w:rPr>
                <w:rFonts w:eastAsia="Yu Mincho"/>
                <w:lang w:eastAsia="zh-CN"/>
              </w:rPr>
              <w:tab/>
            </w:r>
            <w:r>
              <w:rPr>
                <w:rFonts w:eastAsia="Yu Mincho"/>
                <w:lang w:eastAsia="zh-CN"/>
              </w:rPr>
              <w:t>This UE channel bandwidth is applicable only to uplink.</w:t>
            </w:r>
          </w:p>
          <w:p>
            <w:pPr>
              <w:pStyle w:val="66"/>
              <w:keepNext w:val="0"/>
              <w:keepLines w:val="0"/>
              <w:widowControl w:val="0"/>
              <w:rPr>
                <w:rFonts w:eastAsia="Yu Mincho"/>
              </w:rPr>
            </w:pPr>
            <w:r>
              <w:rPr>
                <w:lang w:eastAsia="zh-CN"/>
              </w:rPr>
              <w:t>NOTE 14:</w:t>
            </w:r>
            <w:r>
              <w:rPr>
                <w:lang w:eastAsia="zh-CN"/>
              </w:rPr>
              <w:tab/>
            </w:r>
            <w:r>
              <w:rPr>
                <w:rFonts w:eastAsia="Yu Mincho"/>
              </w:rPr>
              <w:t>This UE channel bandwidth is optional in R18.</w:t>
            </w:r>
          </w:p>
          <w:p>
            <w:pPr>
              <w:pStyle w:val="66"/>
              <w:keepNext w:val="0"/>
              <w:keepLines w:val="0"/>
              <w:widowControl w:val="0"/>
              <w:rPr>
                <w:rFonts w:eastAsia="Yu Mincho"/>
                <w:lang w:eastAsia="zh-CN"/>
              </w:rPr>
            </w:pPr>
            <w:r>
              <w:rPr>
                <w:rFonts w:eastAsia="Yu Mincho"/>
                <w:lang w:eastAsia="zh-CN"/>
              </w:rPr>
              <w:t>NOTE 15:</w:t>
            </w:r>
            <w:r>
              <w:rPr>
                <w:rFonts w:eastAsia="Yu Mincho"/>
                <w:lang w:eastAsia="zh-CN"/>
              </w:rPr>
              <w:tab/>
            </w:r>
            <w:r>
              <w:rPr>
                <w:rFonts w:eastAsia="Yu Mincho"/>
              </w:rPr>
              <w:t>This UE channel bandwidth is applicable only to downlink in R17.</w:t>
            </w:r>
          </w:p>
          <w:p>
            <w:pPr>
              <w:pStyle w:val="66"/>
              <w:keepNext w:val="0"/>
              <w:keepLines w:val="0"/>
              <w:widowControl w:val="0"/>
              <w:rPr>
                <w:rFonts w:eastAsia="Yu Mincho"/>
                <w:lang w:eastAsia="zh-CN"/>
              </w:rPr>
            </w:pPr>
            <w:r>
              <w:rPr>
                <w:rFonts w:eastAsia="Yu Mincho"/>
                <w:lang w:eastAsia="zh-CN"/>
              </w:rPr>
              <w:t>NOTE 16:</w:t>
            </w:r>
            <w:r>
              <w:rPr>
                <w:rFonts w:eastAsia="Yu Mincho"/>
                <w:lang w:eastAsia="zh-CN"/>
              </w:rPr>
              <w:tab/>
            </w:r>
            <w:r>
              <w:rPr>
                <w:rFonts w:eastAsia="Yu Mincho"/>
                <w:lang w:eastAsia="zh-CN"/>
              </w:rPr>
              <w:t>This UE channel bandwidth is optional for uplink in R18.</w:t>
            </w:r>
          </w:p>
          <w:p>
            <w:pPr>
              <w:pStyle w:val="66"/>
              <w:keepNext w:val="0"/>
              <w:keepLines w:val="0"/>
              <w:widowControl w:val="0"/>
              <w:rPr>
                <w:rFonts w:eastAsia="Yu Mincho"/>
              </w:rPr>
            </w:pPr>
            <w:r>
              <w:rPr>
                <w:rFonts w:eastAsia="Yu Mincho"/>
              </w:rPr>
              <w:t>NOTE 1</w:t>
            </w:r>
            <w:r>
              <w:rPr>
                <w:rFonts w:eastAsia="宋体"/>
                <w:lang w:eastAsia="zh-CN"/>
              </w:rPr>
              <w:t>7</w:t>
            </w:r>
            <w:r>
              <w:rPr>
                <w:rFonts w:eastAsia="Yu Mincho"/>
              </w:rPr>
              <w:t>:</w:t>
            </w:r>
            <w:r>
              <w:rPr>
                <w:rFonts w:eastAsia="Yu Mincho"/>
              </w:rPr>
              <w:tab/>
            </w:r>
            <w:r>
              <w:rPr>
                <w:rFonts w:eastAsia="Yu Mincho"/>
              </w:rPr>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2499+N*1.2 ≤F</w:t>
            </w:r>
            <w:r>
              <w:rPr>
                <w:rFonts w:eastAsia="Yu Mincho"/>
                <w:vertAlign w:val="subscript"/>
              </w:rPr>
              <w:t>c</w:t>
            </w:r>
            <w:r>
              <w:rPr>
                <w:rFonts w:eastAsia="Yu Mincho"/>
              </w:rPr>
              <w:t>&lt;2499.3+N*1.2MHz for 0≤N&lt;157 are not compatible with SSB positions and cannot be used for 5 MHz n41.</w:t>
            </w:r>
          </w:p>
          <w:p>
            <w:pPr>
              <w:pStyle w:val="66"/>
              <w:keepNext w:val="0"/>
              <w:keepLines w:val="0"/>
              <w:widowControl w:val="0"/>
              <w:rPr>
                <w:rFonts w:eastAsia="Yu Mincho"/>
                <w:lang w:eastAsia="zh-CN"/>
              </w:rPr>
            </w:pPr>
            <w:r>
              <w:rPr>
                <w:rFonts w:eastAsia="Yu Mincho"/>
                <w:lang w:eastAsia="zh-CN"/>
              </w:rPr>
              <w:t>NOTE 18:</w:t>
            </w:r>
            <w:r>
              <w:rPr>
                <w:rFonts w:eastAsia="Yu Mincho"/>
                <w:lang w:eastAsia="zh-CN"/>
              </w:rPr>
              <w:tab/>
            </w:r>
            <w:r>
              <w:rPr>
                <w:rFonts w:eastAsia="Yu Mincho"/>
                <w:lang w:eastAsia="zh-CN"/>
              </w:rPr>
              <w:t>This UE channel bandwidth is optional in R19.</w:t>
            </w:r>
          </w:p>
        </w:tc>
      </w:tr>
    </w:tbl>
    <w:p/>
    <w:p>
      <w:pPr>
        <w:pStyle w:val="83"/>
      </w:pPr>
      <w:r>
        <w:t>==============Next change==============</w:t>
      </w:r>
    </w:p>
    <w:p>
      <w:pPr>
        <w:pStyle w:val="4"/>
      </w:pPr>
      <w:bookmarkStart w:id="28" w:name="_Toc90916543"/>
      <w:bookmarkStart w:id="29" w:name="_Toc60824959"/>
      <w:bookmarkStart w:id="30" w:name="_Toc76020022"/>
      <w:bookmarkStart w:id="31" w:name="_Toc60823036"/>
      <w:bookmarkStart w:id="32" w:name="_Toc83720492"/>
      <w:bookmarkStart w:id="33" w:name="_Toc69309711"/>
      <w:bookmarkStart w:id="34" w:name="_Toc90916346"/>
      <w:bookmarkStart w:id="35" w:name="_Toc90917299"/>
      <w:bookmarkStart w:id="36" w:name="_Toc69305856"/>
      <w:bookmarkStart w:id="37" w:name="_Toc36226441"/>
      <w:bookmarkStart w:id="38" w:name="_Toc52989847"/>
      <w:bookmarkStart w:id="39" w:name="_Toc27477762"/>
      <w:bookmarkStart w:id="40" w:name="_Toc44323696"/>
      <w:r>
        <w:t>5.4.2</w:t>
      </w:r>
      <w:r>
        <w:tab/>
      </w:r>
      <w:r>
        <w:t>Channel raster</w:t>
      </w:r>
      <w:bookmarkEnd w:id="28"/>
      <w:bookmarkEnd w:id="29"/>
      <w:bookmarkEnd w:id="30"/>
      <w:bookmarkEnd w:id="31"/>
      <w:bookmarkEnd w:id="32"/>
      <w:bookmarkEnd w:id="33"/>
      <w:bookmarkEnd w:id="34"/>
      <w:bookmarkEnd w:id="35"/>
      <w:bookmarkEnd w:id="36"/>
      <w:bookmarkEnd w:id="37"/>
      <w:bookmarkEnd w:id="38"/>
      <w:bookmarkEnd w:id="39"/>
      <w:bookmarkEnd w:id="40"/>
    </w:p>
    <w:p>
      <w:pPr>
        <w:pStyle w:val="5"/>
      </w:pPr>
      <w:bookmarkStart w:id="41" w:name="_Toc69305857"/>
      <w:bookmarkStart w:id="42" w:name="_Toc83720493"/>
      <w:bookmarkStart w:id="43" w:name="_Toc60824960"/>
      <w:bookmarkStart w:id="44" w:name="_Toc36226442"/>
      <w:bookmarkStart w:id="45" w:name="_Toc44323697"/>
      <w:bookmarkStart w:id="46" w:name="_Toc60823037"/>
      <w:bookmarkStart w:id="47" w:name="_Toc76020023"/>
      <w:bookmarkStart w:id="48" w:name="_Toc52989848"/>
      <w:bookmarkStart w:id="49" w:name="_Toc90917300"/>
      <w:bookmarkStart w:id="50" w:name="_Toc27477763"/>
      <w:bookmarkStart w:id="51" w:name="_Toc90916544"/>
      <w:bookmarkStart w:id="52" w:name="_Toc90916347"/>
      <w:bookmarkStart w:id="53" w:name="_Toc69309712"/>
      <w:r>
        <w:t>5.4.2.1</w:t>
      </w:r>
      <w:r>
        <w:tab/>
      </w:r>
      <w:r>
        <w:t>NR-ARFCN and channel raster</w:t>
      </w:r>
      <w:bookmarkEnd w:id="41"/>
      <w:bookmarkEnd w:id="42"/>
      <w:bookmarkEnd w:id="43"/>
      <w:bookmarkEnd w:id="44"/>
      <w:bookmarkEnd w:id="45"/>
      <w:bookmarkEnd w:id="46"/>
      <w:bookmarkEnd w:id="47"/>
      <w:bookmarkEnd w:id="48"/>
      <w:bookmarkEnd w:id="49"/>
      <w:bookmarkEnd w:id="50"/>
      <w:bookmarkEnd w:id="51"/>
      <w:bookmarkEnd w:id="52"/>
      <w:bookmarkEnd w:id="53"/>
    </w:p>
    <w:p>
      <w:r>
        <w:t>The global frequency channel raster defines a set of RF reference frequencies F</w:t>
      </w:r>
      <w:r>
        <w:rPr>
          <w:vertAlign w:val="subscript"/>
        </w:rPr>
        <w:t>REF.</w:t>
      </w:r>
      <w:r>
        <w:t xml:space="preserve"> The RF reference frequency is used in signalling to identify the position of RF channels, SS blocks and other elements.</w:t>
      </w:r>
    </w:p>
    <w:p>
      <w:pPr>
        <w:rPr>
          <w:lang w:eastAsia="zh-CN"/>
        </w:rPr>
      </w:pPr>
      <w:r>
        <w:t>The global frequency raster is defined for all frequencies from 0 to 100 GHz. The granularity of the global frequency raster is ΔF</w:t>
      </w:r>
      <w:r>
        <w:rPr>
          <w:vertAlign w:val="subscript"/>
        </w:rPr>
        <w:t>Global</w:t>
      </w:r>
      <w:r>
        <w:t>.</w:t>
      </w:r>
    </w:p>
    <w:p>
      <w:r>
        <w:t>RF reference frequenc</w:t>
      </w:r>
      <w:r>
        <w:rPr>
          <w:lang w:eastAsia="zh-CN"/>
        </w:rPr>
        <w:t>ies</w:t>
      </w:r>
      <w:r>
        <w:t xml:space="preserve"> </w:t>
      </w:r>
      <w:r>
        <w:rPr>
          <w:lang w:eastAsia="zh-CN"/>
        </w:rPr>
        <w:t xml:space="preserve">are </w:t>
      </w:r>
      <w:r>
        <w:t xml:space="preserve">designated by </w:t>
      </w:r>
      <w:r>
        <w:rPr>
          <w:lang w:eastAsia="zh-CN"/>
        </w:rPr>
        <w:t>an</w:t>
      </w:r>
      <w:r>
        <w:t xml:space="preserve"> NR Absolute Radio Frequency Channel Number (NR-ARFCN) in the range </w:t>
      </w:r>
      <w:r>
        <w:rPr>
          <w:lang w:eastAsia="zh-CN"/>
        </w:rPr>
        <w:t>(</w:t>
      </w:r>
      <w:r>
        <w:t>0…2016666) on the global frequency raster. The relation between the NR-ARFCN and the RF reference frequency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2"/>
      </w:pP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55"/>
      </w:pPr>
      <w:r>
        <w:t>Table 5.4.2.1-1: NR-ARFCN parameters for the global frequency raster</w:t>
      </w:r>
    </w:p>
    <w:tbl>
      <w:tblPr>
        <w:tblStyle w:val="42"/>
        <w:tblW w:w="82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1369"/>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vAlign w:val="center"/>
          </w:tcPr>
          <w:p>
            <w:pPr>
              <w:pStyle w:val="51"/>
            </w:pPr>
            <w:r>
              <w:t>Frequency range (MHz)</w:t>
            </w:r>
          </w:p>
        </w:tc>
        <w:tc>
          <w:tcPr>
            <w:tcW w:w="1369" w:type="dxa"/>
            <w:vAlign w:val="center"/>
          </w:tcPr>
          <w:p>
            <w:pPr>
              <w:pStyle w:val="51"/>
            </w:pPr>
            <w:r>
              <w:t>ΔF</w:t>
            </w:r>
            <w:r>
              <w:rPr>
                <w:vertAlign w:val="subscript"/>
              </w:rPr>
              <w:t xml:space="preserve">Global </w:t>
            </w:r>
            <w:r>
              <w:t>(kHz)</w:t>
            </w:r>
          </w:p>
        </w:tc>
        <w:tc>
          <w:tcPr>
            <w:tcW w:w="1590" w:type="dxa"/>
            <w:vAlign w:val="center"/>
          </w:tcPr>
          <w:p>
            <w:pPr>
              <w:pStyle w:val="51"/>
            </w:pPr>
            <w:r>
              <w:t>F</w:t>
            </w:r>
            <w:r>
              <w:rPr>
                <w:vertAlign w:val="subscript"/>
              </w:rPr>
              <w:t>REF-Offs</w:t>
            </w:r>
            <w:r>
              <w:t xml:space="preserve"> (MHz)</w:t>
            </w:r>
          </w:p>
        </w:tc>
        <w:tc>
          <w:tcPr>
            <w:tcW w:w="1134" w:type="dxa"/>
            <w:vAlign w:val="center"/>
          </w:tcPr>
          <w:p>
            <w:pPr>
              <w:pStyle w:val="51"/>
            </w:pPr>
            <w:r>
              <w:t>N</w:t>
            </w:r>
            <w:r>
              <w:rPr>
                <w:vertAlign w:val="subscript"/>
              </w:rPr>
              <w:t>REF-Offs</w:t>
            </w:r>
          </w:p>
        </w:tc>
        <w:tc>
          <w:tcPr>
            <w:tcW w:w="1935" w:type="dxa"/>
            <w:vAlign w:val="center"/>
          </w:tcPr>
          <w:p>
            <w:pPr>
              <w:pStyle w:val="51"/>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vAlign w:val="center"/>
          </w:tcPr>
          <w:p>
            <w:pPr>
              <w:pStyle w:val="52"/>
            </w:pPr>
            <w:r>
              <w:t>0 – 3000</w:t>
            </w:r>
          </w:p>
        </w:tc>
        <w:tc>
          <w:tcPr>
            <w:tcW w:w="1369" w:type="dxa"/>
            <w:vAlign w:val="center"/>
          </w:tcPr>
          <w:p>
            <w:pPr>
              <w:pStyle w:val="52"/>
            </w:pPr>
            <w:r>
              <w:t>5</w:t>
            </w:r>
          </w:p>
        </w:tc>
        <w:tc>
          <w:tcPr>
            <w:tcW w:w="1590" w:type="dxa"/>
            <w:vAlign w:val="center"/>
          </w:tcPr>
          <w:p>
            <w:pPr>
              <w:pStyle w:val="52"/>
            </w:pPr>
            <w:r>
              <w:t>0</w:t>
            </w:r>
          </w:p>
        </w:tc>
        <w:tc>
          <w:tcPr>
            <w:tcW w:w="1134" w:type="dxa"/>
            <w:vAlign w:val="center"/>
          </w:tcPr>
          <w:p>
            <w:pPr>
              <w:pStyle w:val="52"/>
            </w:pPr>
            <w:r>
              <w:t>0</w:t>
            </w:r>
          </w:p>
        </w:tc>
        <w:tc>
          <w:tcPr>
            <w:tcW w:w="1935" w:type="dxa"/>
            <w:vAlign w:val="center"/>
          </w:tcPr>
          <w:p>
            <w:pPr>
              <w:pStyle w:val="52"/>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1" w:type="dxa"/>
            <w:vAlign w:val="center"/>
          </w:tcPr>
          <w:p>
            <w:pPr>
              <w:pStyle w:val="52"/>
            </w:pPr>
            <w:r>
              <w:t>3000 – 24250</w:t>
            </w:r>
          </w:p>
        </w:tc>
        <w:tc>
          <w:tcPr>
            <w:tcW w:w="1369" w:type="dxa"/>
            <w:vAlign w:val="center"/>
          </w:tcPr>
          <w:p>
            <w:pPr>
              <w:pStyle w:val="52"/>
            </w:pPr>
            <w:r>
              <w:t>15</w:t>
            </w:r>
          </w:p>
        </w:tc>
        <w:tc>
          <w:tcPr>
            <w:tcW w:w="1590" w:type="dxa"/>
            <w:vAlign w:val="center"/>
          </w:tcPr>
          <w:p>
            <w:pPr>
              <w:pStyle w:val="52"/>
            </w:pPr>
            <w:r>
              <w:t>3000</w:t>
            </w:r>
          </w:p>
        </w:tc>
        <w:tc>
          <w:tcPr>
            <w:tcW w:w="1134" w:type="dxa"/>
            <w:vAlign w:val="center"/>
          </w:tcPr>
          <w:p>
            <w:pPr>
              <w:pStyle w:val="52"/>
            </w:pPr>
            <w:r>
              <w:t>600000</w:t>
            </w:r>
          </w:p>
        </w:tc>
        <w:tc>
          <w:tcPr>
            <w:tcW w:w="1935" w:type="dxa"/>
            <w:vAlign w:val="center"/>
          </w:tcPr>
          <w:p>
            <w:pPr>
              <w:pStyle w:val="52"/>
            </w:pPr>
            <w:r>
              <w:t>600000 – 2016666</w:t>
            </w:r>
          </w:p>
        </w:tc>
      </w:tr>
    </w:tbl>
    <w:p>
      <w:pPr>
        <w:rPr>
          <w:lang w:eastAsia="zh-CN"/>
        </w:rPr>
      </w:pPr>
    </w:p>
    <w:p>
      <w: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Pr>
          <w:vertAlign w:val="subscript"/>
        </w:rPr>
        <w:t>Raster</w:t>
      </w:r>
      <w:r>
        <w:t>, which may be equal to or larger than ΔF</w:t>
      </w:r>
      <w:r>
        <w:rPr>
          <w:vertAlign w:val="subscript"/>
        </w:rPr>
        <w:t>Global</w:t>
      </w:r>
      <w:r>
        <w:t>.</w:t>
      </w:r>
    </w:p>
    <w:p>
      <w:r>
        <w:t xml:space="preserve">For SUL bands expect n95, n97, n98 bands and for the uplink of all FDD bands defined in Table 5.2-1, </w:t>
      </w:r>
      <w:r>
        <w:rPr>
          <w:rFonts w:eastAsia="Yu Mincho"/>
        </w:rPr>
        <w:t xml:space="preserve">and for TDD bands n34, n39, n48, n90, n38 </w:t>
      </w:r>
      <w:r>
        <w:rPr>
          <w:rFonts w:eastAsia="宋体"/>
          <w:lang w:eastAsia="zh-CN"/>
        </w:rPr>
        <w:t>and n40</w:t>
      </w:r>
      <w:r>
        <w:t>.</w:t>
      </w:r>
    </w:p>
    <w:p>
      <w:pPr>
        <w:pStyle w:val="62"/>
      </w:pPr>
      <w:r>
        <w:t>F</w:t>
      </w:r>
      <w:r>
        <w:rPr>
          <w:vertAlign w:val="subscript"/>
        </w:rPr>
        <w:t>REF, shift</w:t>
      </w:r>
      <w:r>
        <w:t xml:space="preserve"> = F</w:t>
      </w:r>
      <w:r>
        <w:rPr>
          <w:vertAlign w:val="subscript"/>
        </w:rPr>
        <w:t xml:space="preserve">REF </w:t>
      </w:r>
      <w:r>
        <w:t>+ Δ</w:t>
      </w:r>
      <w:r>
        <w:rPr>
          <w:vertAlign w:val="subscript"/>
        </w:rPr>
        <w:t>shift</w:t>
      </w:r>
      <w:r>
        <w:t>, Δ</w:t>
      </w:r>
      <w:r>
        <w:rPr>
          <w:vertAlign w:val="subscript"/>
        </w:rPr>
        <w:t>shift</w:t>
      </w:r>
      <w:r>
        <w:t>=0kHz or 7.5 kHz.</w:t>
      </w:r>
    </w:p>
    <w:p>
      <w:r>
        <w:t>where Δ</w:t>
      </w:r>
      <w:r>
        <w:rPr>
          <w:vertAlign w:val="subscript"/>
        </w:rPr>
        <w:t>shift</w:t>
      </w:r>
      <w:r>
        <w:t xml:space="preserve"> is signalled by the network in higher layer parameter frequencyShift7p5khz [</w:t>
      </w:r>
      <w:r>
        <w:rPr>
          <w:lang w:eastAsia="zh-CN"/>
        </w:rPr>
        <w:t>6</w:t>
      </w:r>
      <w:r>
        <w:t>].</w:t>
      </w:r>
      <w:r>
        <w:rPr>
          <w:rFonts w:eastAsia="Yu Mincho"/>
        </w:rPr>
        <w:t xml:space="preserve"> For Band n34, n38, n39, n40, n48, </w:t>
      </w:r>
      <w:r>
        <w:t>F</w:t>
      </w:r>
      <w:r>
        <w:rPr>
          <w:vertAlign w:val="subscript"/>
        </w:rPr>
        <w:t>REF, shift</w:t>
      </w:r>
      <w:r>
        <w:t xml:space="preserve"> </w:t>
      </w:r>
      <w:r>
        <w:rPr>
          <w:rFonts w:eastAsia="Yu Mincho"/>
        </w:rPr>
        <w:t>is only applicable to uplink transmissions using a 15 kHz SCS.</w:t>
      </w:r>
    </w:p>
    <w:p>
      <w:r>
        <w:t>The mapping between the channel raster and corresponding resource element is given in Section 5.4.2.2. The applicable entries for each operating band are defined in Section 5.4.2.3</w:t>
      </w:r>
    </w:p>
    <w:p>
      <w:pPr>
        <w:pStyle w:val="5"/>
      </w:pPr>
      <w:bookmarkStart w:id="54" w:name="_Toc90916348"/>
      <w:bookmarkStart w:id="55" w:name="_Toc60823038"/>
      <w:bookmarkStart w:id="56" w:name="_Toc44323698"/>
      <w:bookmarkStart w:id="57" w:name="_Toc69309713"/>
      <w:bookmarkStart w:id="58" w:name="_Toc69305858"/>
      <w:bookmarkStart w:id="59" w:name="_Toc27477764"/>
      <w:bookmarkStart w:id="60" w:name="_Toc76020024"/>
      <w:bookmarkStart w:id="61" w:name="_Toc90916545"/>
      <w:bookmarkStart w:id="62" w:name="_Toc60824961"/>
      <w:bookmarkStart w:id="63" w:name="_Toc52989849"/>
      <w:bookmarkStart w:id="64" w:name="_Toc83720494"/>
      <w:bookmarkStart w:id="65" w:name="_Toc36226443"/>
      <w:bookmarkStart w:id="66" w:name="_Toc90917301"/>
      <w:r>
        <w:t>5.4.2.2</w:t>
      </w:r>
      <w:r>
        <w:tab/>
      </w:r>
      <w:r>
        <w:t>Channel raster to resource element mapping</w:t>
      </w:r>
      <w:bookmarkEnd w:id="54"/>
      <w:bookmarkEnd w:id="55"/>
      <w:bookmarkEnd w:id="56"/>
      <w:bookmarkEnd w:id="57"/>
      <w:bookmarkEnd w:id="58"/>
      <w:bookmarkEnd w:id="59"/>
      <w:bookmarkEnd w:id="60"/>
      <w:bookmarkEnd w:id="61"/>
      <w:bookmarkEnd w:id="62"/>
      <w:bookmarkEnd w:id="63"/>
      <w:bookmarkEnd w:id="64"/>
      <w:bookmarkEnd w:id="65"/>
      <w:bookmarkEnd w:id="66"/>
    </w:p>
    <w:p>
      <w:pPr>
        <w:rPr>
          <w:rFonts w:eastAsia="Yu Mincho"/>
        </w:rPr>
      </w:pPr>
      <w:r>
        <w:t>The mapping between the RF reference frequency on the channel raster and the corresponding resource element is given in Table 5.4.2.2-1</w:t>
      </w:r>
      <w:r>
        <w:rPr>
          <w:rFonts w:eastAsia="Yu Mincho"/>
        </w:rPr>
        <w:t xml:space="preserve"> and can be used to identify the RF channel position</w:t>
      </w:r>
      <w:r>
        <w:t>. The mapping depends on the total number of RBs that are allocated in the channel and applies to both UL and DL. The mapping must apply to at least one numerology supported by the UE</w:t>
      </w:r>
      <w:r>
        <w:rPr>
          <w:rFonts w:eastAsia="Yu Mincho"/>
        </w:rPr>
        <w:t>.</w:t>
      </w:r>
    </w:p>
    <w:p>
      <w:pPr>
        <w:pStyle w:val="55"/>
      </w:pPr>
      <w:r>
        <w:t>Table 5.4.2.2-1: Channel raster to resource element mapping</w:t>
      </w:r>
    </w:p>
    <w:tbl>
      <w:tblPr>
        <w:tblStyle w:val="42"/>
        <w:tblW w:w="8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8"/>
        <w:gridCol w:w="2406"/>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58" w:type="dxa"/>
          </w:tcPr>
          <w:p>
            <w:pPr>
              <w:pStyle w:val="51"/>
            </w:pPr>
            <w:r>
              <w:br w:type="page"/>
            </w:r>
          </w:p>
        </w:tc>
        <w:tc>
          <w:tcPr>
            <w:tcW w:w="2406" w:type="dxa"/>
          </w:tcPr>
          <w:p>
            <w:pPr>
              <w:pStyle w:val="51"/>
              <w:rPr>
                <w:vertAlign w:val="superscript"/>
              </w:rPr>
            </w:pPr>
            <w:bookmarkStart w:id="67" w:name="OLE_LINK12"/>
            <w:bookmarkStart w:id="68" w:name="OLE_LINK11"/>
            <w:r>
              <w:t>N</w:t>
            </w:r>
            <w:r>
              <w:rPr>
                <w:vertAlign w:val="subscript"/>
              </w:rPr>
              <w:t>RB</w:t>
            </w:r>
            <w:r>
              <w:t>mod2 = 0</w:t>
            </w:r>
            <w:bookmarkEnd w:id="67"/>
            <w:bookmarkEnd w:id="68"/>
          </w:p>
        </w:tc>
        <w:tc>
          <w:tcPr>
            <w:tcW w:w="2406" w:type="dxa"/>
          </w:tcPr>
          <w:p>
            <w:pPr>
              <w:pStyle w:val="51"/>
            </w:pPr>
            <w:r>
              <w:t>N</w:t>
            </w:r>
            <w:r>
              <w:rPr>
                <w:vertAlign w:val="subscript"/>
              </w:rPr>
              <w:t>RB</w:t>
            </w:r>
            <w:r>
              <w:t>mod2 =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8" w:type="dxa"/>
          </w:tcPr>
          <w:p>
            <w:pPr>
              <w:pStyle w:val="52"/>
            </w:pPr>
            <w:r>
              <w:t xml:space="preserve">Resource element index </w:t>
            </w:r>
            <w:r>
              <w:rPr>
                <w:position w:val="-6"/>
              </w:rPr>
              <w:object>
                <v:shape id="_x0000_i1025" o:spt="75" type="#_x0000_t75" style="height:12pt;width: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6" w:type="dxa"/>
          </w:tcPr>
          <w:p>
            <w:pPr>
              <w:pStyle w:val="52"/>
            </w:pPr>
            <w:r>
              <w:t>0</w:t>
            </w:r>
          </w:p>
        </w:tc>
        <w:tc>
          <w:tcPr>
            <w:tcW w:w="2406" w:type="dxa"/>
          </w:tcPr>
          <w:p>
            <w:pPr>
              <w:pStyle w:val="52"/>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758" w:type="dxa"/>
          </w:tcPr>
          <w:p>
            <w:pPr>
              <w:pStyle w:val="52"/>
            </w:pPr>
            <w:r>
              <w:t xml:space="preserve">Physical resource block number </w:t>
            </w:r>
            <w:r>
              <w:rPr>
                <w:position w:val="-10"/>
              </w:rPr>
              <w:object>
                <v:shape id="_x0000_i1026" o:spt="75" type="#_x0000_t75" style="height:18pt;width:24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2406" w:type="dxa"/>
          </w:tcPr>
          <w:p>
            <w:pPr>
              <w:pStyle w:val="52"/>
              <w:rPr>
                <w:rFonts w:cs="v5.0.0"/>
              </w:rPr>
            </w:pPr>
            <w:r>
              <w:object>
                <v:shape id="_x0000_i1027" o:spt="75" type="#_x0000_t75" style="height:36pt;width:72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6" w:type="dxa"/>
          </w:tcPr>
          <w:p>
            <w:pPr>
              <w:pStyle w:val="52"/>
              <w:rPr>
                <w:rFonts w:cs="v5.0.0"/>
              </w:rPr>
            </w:pPr>
            <w:r>
              <w:object>
                <v:shape id="_x0000_i1028" o:spt="75" type="#_x0000_t75" style="height:36pt;width:72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
      <w:r>
        <w:rPr>
          <w:position w:val="-6"/>
        </w:rPr>
        <w:object>
          <v:shape id="_x0000_i1029" o:spt="75" type="#_x0000_t75" style="height:12pt;width:6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7">
            <o:LockedField>false</o:LockedField>
          </o:OLEObject>
        </w:object>
      </w:r>
      <w:r>
        <w:t xml:space="preserve">, </w:t>
      </w:r>
      <w:r>
        <w:rPr>
          <w:rFonts w:eastAsia="Yu Mincho"/>
          <w:i/>
        </w:rPr>
        <w:t>n</w:t>
      </w:r>
      <w:r>
        <w:rPr>
          <w:rFonts w:eastAsia="Yu Mincho"/>
          <w:i/>
          <w:vertAlign w:val="subscript"/>
        </w:rPr>
        <w:t>PRB</w:t>
      </w:r>
      <w:r>
        <w:rPr>
          <w:rFonts w:eastAsia="Yu Mincho"/>
        </w:rPr>
        <w:t xml:space="preserve">, </w:t>
      </w:r>
      <w:r>
        <w:rPr>
          <w:rFonts w:eastAsia="Yu Mincho"/>
          <w:i/>
        </w:rPr>
        <w:t>N</w:t>
      </w:r>
      <w:r>
        <w:rPr>
          <w:rFonts w:eastAsia="Yu Mincho"/>
          <w:i/>
          <w:vertAlign w:val="subscript"/>
        </w:rPr>
        <w:t>RB</w:t>
      </w:r>
      <w:r>
        <w:rPr>
          <w:rFonts w:eastAsia="Yu Mincho"/>
        </w:rPr>
        <w:t xml:space="preserve"> </w:t>
      </w:r>
      <w:r>
        <w:t>are as defined in TS 38.211[8].</w:t>
      </w:r>
    </w:p>
    <w:p>
      <w:pPr>
        <w:pStyle w:val="5"/>
      </w:pPr>
      <w:bookmarkStart w:id="69" w:name="_Toc52989850"/>
      <w:bookmarkStart w:id="70" w:name="_Toc90917302"/>
      <w:bookmarkStart w:id="71" w:name="_Toc90916546"/>
      <w:bookmarkStart w:id="72" w:name="_Toc60824962"/>
      <w:bookmarkStart w:id="73" w:name="_Toc69309714"/>
      <w:bookmarkStart w:id="74" w:name="_Toc76020025"/>
      <w:bookmarkStart w:id="75" w:name="_Toc27477765"/>
      <w:bookmarkStart w:id="76" w:name="_Toc60823039"/>
      <w:bookmarkStart w:id="77" w:name="_Toc90916349"/>
      <w:bookmarkStart w:id="78" w:name="_Toc83720495"/>
      <w:bookmarkStart w:id="79" w:name="_Toc44323699"/>
      <w:bookmarkStart w:id="80" w:name="_Toc69305859"/>
      <w:bookmarkStart w:id="81" w:name="_Toc36226444"/>
      <w:r>
        <w:t>5.4.2.3</w:t>
      </w:r>
      <w:r>
        <w:tab/>
      </w:r>
      <w:r>
        <w:t>Channel raster entries for each operating band</w:t>
      </w:r>
      <w:bookmarkEnd w:id="69"/>
      <w:bookmarkEnd w:id="70"/>
      <w:bookmarkEnd w:id="71"/>
      <w:bookmarkEnd w:id="72"/>
      <w:bookmarkEnd w:id="73"/>
      <w:bookmarkEnd w:id="74"/>
      <w:bookmarkEnd w:id="75"/>
      <w:bookmarkEnd w:id="76"/>
      <w:bookmarkEnd w:id="77"/>
      <w:bookmarkEnd w:id="78"/>
      <w:bookmarkEnd w:id="79"/>
      <w:bookmarkEnd w:id="80"/>
      <w:bookmarkEnd w:id="81"/>
    </w:p>
    <w:p>
      <w:r>
        <w:t>The RF channel positions on the channel raster in each NR operating band are given through the applicable NR-ARFCN in Table 5.4.2.3-1, using the channel raster to resource element mapping in subclause 5.4.2.2.</w:t>
      </w:r>
    </w:p>
    <w:p>
      <w:r>
        <w:t>For NR operating bands with 100 kHz channel raster, ΔF</w:t>
      </w:r>
      <w:r>
        <w:rPr>
          <w:vertAlign w:val="subscript"/>
        </w:rPr>
        <w:t>Raster</w:t>
      </w:r>
      <w:r>
        <w:t xml:space="preserve"> = 20 × ΔF</w:t>
      </w:r>
      <w:r>
        <w:rPr>
          <w:vertAlign w:val="subscript"/>
        </w:rPr>
        <w:t>Global</w:t>
      </w:r>
      <w:r>
        <w:t>. In this case every 20</w:t>
      </w:r>
      <w:r>
        <w:rPr>
          <w:vertAlign w:val="superscript"/>
        </w:rPr>
        <w:t>th</w:t>
      </w:r>
      <w:bookmarkStart w:id="82" w:name="_Hlk499903272"/>
      <w:r>
        <w:t xml:space="preserve"> NR-ARFCN within the operating band are applicable for the channel raster within the operating band and the step size for the channel raster in Table 5.4.2.3-1 is given as &lt;20&gt;.</w:t>
      </w:r>
      <w:bookmarkEnd w:id="82"/>
    </w:p>
    <w:p>
      <w:r>
        <w:t>For NR operating bands with 15 kHz channel raster below 3GHz, ΔF</w:t>
      </w:r>
      <w:r>
        <w:rPr>
          <w:vertAlign w:val="subscript"/>
        </w:rPr>
        <w:t>Raster</w:t>
      </w:r>
      <w:r>
        <w:t xml:space="preserve"> = </w:t>
      </w:r>
      <w:r>
        <w:rPr>
          <w:i/>
        </w:rPr>
        <w:t>I</w:t>
      </w:r>
      <w:r>
        <w:t xml:space="preserve"> × ΔF</w:t>
      </w:r>
      <w:r>
        <w:rPr>
          <w:vertAlign w:val="subscript"/>
        </w:rPr>
        <w:t>Global</w:t>
      </w:r>
      <w:r>
        <w:t xml:space="preserve">, where </w:t>
      </w:r>
      <w:r>
        <w:rPr>
          <w:i/>
        </w:rPr>
        <w:t>I ϵ {3,6}</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w:t>
      </w:r>
      <w:r>
        <w:noBreakHyphen/>
      </w:r>
      <w:r>
        <w:t>1 is given as &lt;</w:t>
      </w:r>
      <w:r>
        <w:rPr>
          <w:i/>
        </w:rPr>
        <w:t xml:space="preserve"> I</w:t>
      </w:r>
      <w:r>
        <w:t xml:space="preserve"> &gt;.</w:t>
      </w:r>
    </w:p>
    <w:p>
      <w:r>
        <w:t>For NR operating bands with 15 kHz channel raster above 3GHz, ΔF</w:t>
      </w:r>
      <w:r>
        <w:rPr>
          <w:vertAlign w:val="subscript"/>
        </w:rPr>
        <w:t>Raster</w:t>
      </w:r>
      <w:r>
        <w:t xml:space="preserve"> = </w:t>
      </w:r>
      <w:r>
        <w:rPr>
          <w:i/>
        </w:rPr>
        <w:t>I</w:t>
      </w:r>
      <w:r>
        <w:t xml:space="preserve"> × ΔF</w:t>
      </w:r>
      <w:r>
        <w:rPr>
          <w:vertAlign w:val="subscript"/>
        </w:rPr>
        <w:t>Global</w:t>
      </w:r>
      <w:r>
        <w:t xml:space="preserve">, where </w:t>
      </w:r>
      <w:r>
        <w:rPr>
          <w:i/>
        </w:rPr>
        <w:t>I ϵ {1,2}.</w:t>
      </w:r>
      <w:r>
        <w:t xml:space="preserve"> Every </w:t>
      </w:r>
      <w:r>
        <w:rPr>
          <w:i/>
        </w:rPr>
        <w:t>I</w:t>
      </w:r>
      <w:r>
        <w:rPr>
          <w:i/>
          <w:vertAlign w:val="superscript"/>
        </w:rPr>
        <w:t>th</w:t>
      </w:r>
      <w:r>
        <w:t xml:space="preserve"> NR</w:t>
      </w:r>
      <w:r>
        <w:noBreakHyphen/>
      </w:r>
      <w:r>
        <w:t>ARFCN within the operating band are applicable for the channel raster within the operating band and the step size for the channel raster in table 5.4.2.3-1 is given as &lt;</w:t>
      </w:r>
      <w:r>
        <w:rPr>
          <w:i/>
        </w:rPr>
        <w:t>I</w:t>
      </w:r>
      <w:r>
        <w:t>&gt;.</w:t>
      </w:r>
    </w:p>
    <w:p>
      <w:r>
        <w:t>In frequency bands with two or more ΔF</w:t>
      </w:r>
      <w:r>
        <w:rPr>
          <w:vertAlign w:val="subscript"/>
        </w:rPr>
        <w:t>Raster</w:t>
      </w:r>
      <w:r>
        <w:t>: For 15 kHz and 30 kHz channel raster,the higher ΔF</w:t>
      </w:r>
      <w:r>
        <w:rPr>
          <w:vertAlign w:val="subscript"/>
        </w:rPr>
        <w:t>Raster</w:t>
      </w:r>
      <w:r>
        <w:t xml:space="preserve"> applies to channels using only the SCS that is equals to or larger than the higher ΔF</w:t>
      </w:r>
      <w:r>
        <w:rPr>
          <w:vertAlign w:val="subscript"/>
        </w:rPr>
        <w:t xml:space="preserve">Raster </w:t>
      </w:r>
      <w:r>
        <w:t>and SSB SCS is equal to the higher ∆F</w:t>
      </w:r>
      <w:r>
        <w:rPr>
          <w:vertAlign w:val="subscript"/>
        </w:rPr>
        <w:t>Raster</w:t>
      </w:r>
      <w:r>
        <w:t>.</w:t>
      </w:r>
    </w:p>
    <w:p>
      <w:pPr>
        <w:pStyle w:val="55"/>
      </w:pPr>
      <w:r>
        <w:t>Table 5.4.2.3-1: Applicable NR-ARFCN per operating band</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1"/>
              <w:rPr>
                <w:rFonts w:eastAsia="Yu Mincho"/>
              </w:rPr>
            </w:pPr>
            <w:r>
              <w:t>NR operating band</w:t>
            </w:r>
          </w:p>
        </w:tc>
        <w:tc>
          <w:tcPr>
            <w:tcW w:w="1146" w:type="dxa"/>
            <w:tcBorders>
              <w:top w:val="single" w:color="auto" w:sz="4" w:space="0"/>
              <w:left w:val="single" w:color="auto" w:sz="4" w:space="0"/>
              <w:bottom w:val="single" w:color="auto" w:sz="4" w:space="0"/>
              <w:right w:val="single" w:color="auto" w:sz="4" w:space="0"/>
            </w:tcBorders>
          </w:tcPr>
          <w:p>
            <w:pPr>
              <w:pStyle w:val="51"/>
              <w:rPr>
                <w:rFonts w:ascii="Times New Roman" w:hAnsi="Times New Roman"/>
                <w:sz w:val="20"/>
              </w:rPr>
            </w:pPr>
            <w:r>
              <w:t>ΔF</w:t>
            </w:r>
            <w:r>
              <w:rPr>
                <w:vertAlign w:val="subscript"/>
              </w:rPr>
              <w:t>Raster</w:t>
            </w:r>
            <w:r>
              <w:rPr>
                <w:rFonts w:ascii="Times New Roman" w:hAnsi="Times New Roman"/>
                <w:sz w:val="20"/>
              </w:rPr>
              <w:t xml:space="preserve"> </w:t>
            </w:r>
          </w:p>
          <w:p>
            <w:pPr>
              <w:pStyle w:val="51"/>
              <w:rPr>
                <w:rFonts w:eastAsia="Yu Mincho"/>
              </w:rPr>
            </w:pPr>
            <w:r>
              <w:t>(kHz)</w:t>
            </w:r>
          </w:p>
        </w:tc>
        <w:tc>
          <w:tcPr>
            <w:tcW w:w="2876" w:type="dxa"/>
            <w:tcBorders>
              <w:top w:val="single" w:color="auto" w:sz="4" w:space="0"/>
              <w:left w:val="single" w:color="auto" w:sz="4" w:space="0"/>
              <w:bottom w:val="single" w:color="auto" w:sz="4" w:space="0"/>
              <w:right w:val="single" w:color="auto" w:sz="4" w:space="0"/>
            </w:tcBorders>
          </w:tcPr>
          <w:p>
            <w:pPr>
              <w:pStyle w:val="51"/>
            </w:pPr>
            <w:r>
              <w:rPr>
                <w:rFonts w:eastAsia="Yu Mincho"/>
              </w:rPr>
              <w:t>U</w:t>
            </w:r>
            <w:r>
              <w:t>plink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1"/>
            </w:pPr>
            <w:r>
              <w:t>Downlink</w:t>
            </w:r>
          </w:p>
          <w:p>
            <w:pPr>
              <w:pStyle w:val="51"/>
              <w:rPr>
                <w:rFonts w:eastAsia="Yu Mincho"/>
                <w:vertAlign w:val="subscript"/>
              </w:rPr>
            </w:pPr>
            <w:r>
              <w:t>Range of N</w:t>
            </w:r>
            <w:r>
              <w:rPr>
                <w:rFonts w:eastAsia="Yu Mincho"/>
                <w:vertAlign w:val="subscript"/>
              </w:rPr>
              <w:t>REF</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361000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164800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173800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500000 – &lt;20&gt; – 514000</w:t>
            </w:r>
          </w:p>
        </w:tc>
        <w:tc>
          <w:tcPr>
            <w:tcW w:w="2877" w:type="dxa"/>
            <w:tcBorders>
              <w:top w:val="single" w:color="auto" w:sz="4" w:space="0"/>
              <w:left w:val="single" w:color="auto" w:sz="4" w:space="0"/>
              <w:bottom w:val="single" w:color="auto" w:sz="4" w:space="0"/>
              <w:right w:val="single" w:color="auto" w:sz="4" w:space="0"/>
            </w:tcBorders>
          </w:tcPr>
          <w:p>
            <w:pPr>
              <w:pStyle w:val="52"/>
            </w:pPr>
            <w: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185000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139800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145800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155400 – &lt;20&gt; – 157400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149200 – &lt;20&gt; – 151200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n14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157600 – &lt;20&gt; – 159600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158200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305000 – &lt;20&gt; – 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370000 – &lt;20&gt; – 383000</w:t>
            </w:r>
          </w:p>
        </w:tc>
        <w:tc>
          <w:tcPr>
            <w:tcW w:w="2877" w:type="dxa"/>
            <w:tcBorders>
              <w:top w:val="single" w:color="auto" w:sz="4" w:space="0"/>
              <w:left w:val="single" w:color="auto" w:sz="4" w:space="0"/>
              <w:bottom w:val="single" w:color="auto" w:sz="4" w:space="0"/>
              <w:right w:val="single" w:color="auto" w:sz="4" w:space="0"/>
            </w:tcBorders>
          </w:tcPr>
          <w:p>
            <w:pPr>
              <w:pStyle w:val="52"/>
            </w:pPr>
            <w:r>
              <w:t>386000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52"/>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 149600</w:t>
            </w:r>
          </w:p>
        </w:tc>
        <w:tc>
          <w:tcPr>
            <w:tcW w:w="2877" w:type="dxa"/>
            <w:tcBorders>
              <w:top w:val="single" w:color="auto" w:sz="4" w:space="0"/>
              <w:left w:val="single" w:color="auto" w:sz="4" w:space="0"/>
              <w:bottom w:val="single" w:color="auto" w:sz="4" w:space="0"/>
              <w:right w:val="single" w:color="auto" w:sz="4" w:space="0"/>
            </w:tcBorders>
          </w:tcPr>
          <w:p>
            <w:pPr>
              <w:pStyle w:val="52"/>
            </w:pPr>
            <w:r>
              <w:t>151600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n29</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143400</w:t>
            </w:r>
            <w:r>
              <w:rPr>
                <w:rFonts w:eastAsia="Yu Mincho"/>
              </w:rPr>
              <w:t xml:space="preserve"> – &lt;20&gt; –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461000 – &lt;20&gt; – 463000</w:t>
            </w:r>
          </w:p>
        </w:tc>
        <w:tc>
          <w:tcPr>
            <w:tcW w:w="2877" w:type="dxa"/>
            <w:tcBorders>
              <w:top w:val="single" w:color="auto" w:sz="4" w:space="0"/>
              <w:left w:val="single" w:color="auto" w:sz="4" w:space="0"/>
              <w:bottom w:val="single" w:color="auto" w:sz="4" w:space="0"/>
              <w:right w:val="single" w:color="auto" w:sz="4" w:space="0"/>
            </w:tcBorders>
          </w:tcPr>
          <w:p>
            <w:pPr>
              <w:pStyle w:val="52"/>
            </w:pPr>
            <w:r>
              <w:t>470000 – &lt;20&gt; –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n31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90500 –</w:t>
            </w:r>
            <w:r>
              <w:t xml:space="preserve"> &lt;20&gt; </w:t>
            </w:r>
            <w:r>
              <w:rPr>
                <w:rFonts w:eastAsia="Yu Mincho"/>
              </w:rPr>
              <w:t>– 91500</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92500 </w:t>
            </w:r>
            <w:r>
              <w:rPr>
                <w:rFonts w:eastAsia="Yu Mincho"/>
              </w:rPr>
              <w:t>–</w:t>
            </w:r>
            <w:r>
              <w:t xml:space="preserve"> &lt;20&gt; </w:t>
            </w:r>
            <w:r>
              <w:rPr>
                <w:rFonts w:eastAsia="Yu Mincho"/>
              </w:rPr>
              <w:t>– 93500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402000 – &lt;20&gt; – 405000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n38</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514000 – &lt;20&gt; – 524000</w:t>
            </w:r>
          </w:p>
        </w:tc>
        <w:tc>
          <w:tcPr>
            <w:tcW w:w="2877" w:type="dxa"/>
            <w:tcBorders>
              <w:top w:val="single" w:color="auto" w:sz="4" w:space="0"/>
              <w:left w:val="single" w:color="auto" w:sz="4" w:space="0"/>
              <w:bottom w:val="single" w:color="auto" w:sz="4" w:space="0"/>
              <w:right w:val="single" w:color="auto" w:sz="4" w:space="0"/>
            </w:tcBorders>
          </w:tcPr>
          <w:p>
            <w:pPr>
              <w:pStyle w:val="52"/>
            </w:pPr>
            <w: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n39</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t>376000 – &lt;20&gt; – 384000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n40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460000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n41</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499200 – &lt;3&gt; – 537999</w:t>
            </w:r>
          </w:p>
        </w:tc>
        <w:tc>
          <w:tcPr>
            <w:tcW w:w="2877" w:type="dxa"/>
            <w:tcBorders>
              <w:top w:val="single" w:color="auto" w:sz="4" w:space="0"/>
              <w:left w:val="single" w:color="auto" w:sz="4" w:space="0"/>
              <w:bottom w:val="single" w:color="auto" w:sz="4" w:space="0"/>
              <w:right w:val="single" w:color="auto" w:sz="4" w:space="0"/>
            </w:tcBorders>
          </w:tcPr>
          <w:p>
            <w:pPr>
              <w:pStyle w:val="52"/>
            </w:pPr>
            <w:r>
              <w:t>499200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c>
          <w:tcPr>
            <w:tcW w:w="2877" w:type="dxa"/>
            <w:tcBorders>
              <w:top w:val="single" w:color="auto" w:sz="4" w:space="0"/>
              <w:left w:val="single" w:color="auto" w:sz="4" w:space="0"/>
              <w:bottom w:val="single" w:color="auto" w:sz="4" w:space="0"/>
              <w:right w:val="single" w:color="auto" w:sz="4" w:space="0"/>
            </w:tcBorders>
          </w:tcPr>
          <w:p>
            <w:pPr>
              <w:pStyle w:val="52"/>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pPr>
            <w:r>
              <w:t>n46</w:t>
            </w:r>
            <w:r>
              <w:rPr>
                <w:vertAlign w:val="superscript"/>
              </w:rPr>
              <w:t>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743334 – &lt;1&gt; – 795000</w:t>
            </w:r>
          </w:p>
        </w:tc>
        <w:tc>
          <w:tcPr>
            <w:tcW w:w="2877" w:type="dxa"/>
            <w:tcBorders>
              <w:top w:val="single" w:color="auto" w:sz="4" w:space="0"/>
              <w:left w:val="single" w:color="auto" w:sz="4" w:space="0"/>
              <w:bottom w:val="single" w:color="auto" w:sz="4" w:space="0"/>
              <w:right w:val="single" w:color="auto" w:sz="4" w:space="0"/>
            </w:tcBorders>
          </w:tcPr>
          <w:p>
            <w:pPr>
              <w:pStyle w:val="52"/>
            </w:pPr>
            <w:r>
              <w:t>743334 – &lt;1&gt; – 795000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right w:val="single" w:color="auto" w:sz="4" w:space="0"/>
            </w:tcBorders>
            <w:vAlign w:val="center"/>
          </w:tcPr>
          <w:p>
            <w:pPr>
              <w:pStyle w:val="52"/>
            </w:pPr>
            <w:r>
              <w:t>n47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rPr>
                <w:rFonts w:eastAsia="Malgun Gothic"/>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c>
          <w:tcPr>
            <w:tcW w:w="2877" w:type="dxa"/>
            <w:tcBorders>
              <w:top w:val="single" w:color="auto" w:sz="4" w:space="0"/>
              <w:left w:val="single" w:color="auto" w:sz="4" w:space="0"/>
              <w:bottom w:val="single" w:color="auto" w:sz="4" w:space="0"/>
              <w:right w:val="single" w:color="auto" w:sz="4" w:space="0"/>
            </w:tcBorders>
          </w:tcPr>
          <w:p>
            <w:pPr>
              <w:pStyle w:val="52"/>
            </w:pPr>
            <w:r>
              <w:t>79033</w:t>
            </w:r>
            <w:r>
              <w:rPr>
                <w:lang w:eastAsia="zh-CN"/>
              </w:rPr>
              <w:t>4</w:t>
            </w:r>
            <w:r>
              <w:rPr>
                <w:rFonts w:eastAsia="Yu Mincho"/>
              </w:rPr>
              <w:t xml:space="preserve"> – &lt;</w:t>
            </w:r>
            <w:r>
              <w:rPr>
                <w:lang w:eastAsia="zh-CN"/>
              </w:rPr>
              <w:t>1</w:t>
            </w:r>
            <w:r>
              <w:rPr>
                <w:rFonts w:eastAsia="Yu Mincho"/>
              </w:rPr>
              <w:t xml:space="preserve">&gt; – </w:t>
            </w:r>
            <w:r>
              <w:rPr>
                <w:lang w:eastAsia="zh-CN"/>
              </w:rPr>
              <w:t>795</w:t>
            </w:r>
            <w:r>
              <w:rPr>
                <w:rFonts w:eastAsia="Yu Mincho"/>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left w:val="single" w:color="auto" w:sz="4" w:space="0"/>
              <w:right w:val="single" w:color="auto" w:sz="4" w:space="0"/>
            </w:tcBorders>
            <w:vAlign w:val="center"/>
          </w:tcPr>
          <w:p>
            <w:pPr>
              <w:pStyle w:val="52"/>
              <w:rPr>
                <w:lang w:eastAsia="zh-CN"/>
              </w:rPr>
            </w:pPr>
            <w:r>
              <w:t>n48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c>
          <w:tcPr>
            <w:tcW w:w="2877" w:type="dxa"/>
            <w:tcBorders>
              <w:top w:val="single" w:color="auto" w:sz="4" w:space="0"/>
              <w:left w:val="single" w:color="auto" w:sz="4" w:space="0"/>
              <w:bottom w:val="single" w:color="auto" w:sz="4" w:space="0"/>
              <w:right w:val="single" w:color="auto" w:sz="4" w:space="0"/>
            </w:tcBorders>
          </w:tcPr>
          <w:p>
            <w:pPr>
              <w:pStyle w:val="52"/>
            </w:pPr>
            <w: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64"/>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636668 –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285400 – &lt;20&gt; – 286400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n53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c>
          <w:tcPr>
            <w:tcW w:w="2877" w:type="dxa"/>
            <w:tcBorders>
              <w:top w:val="single" w:color="auto" w:sz="4" w:space="0"/>
              <w:left w:val="single" w:color="auto" w:sz="4" w:space="0"/>
              <w:bottom w:val="single" w:color="auto" w:sz="4" w:space="0"/>
              <w:right w:val="single" w:color="auto" w:sz="4" w:space="0"/>
            </w:tcBorders>
          </w:tcPr>
          <w:p>
            <w:pPr>
              <w:pStyle w:val="52"/>
            </w:pPr>
            <w:r>
              <w:t>496700</w:t>
            </w:r>
            <w:r>
              <w:rPr>
                <w:rFonts w:eastAsia="Yu Mincho"/>
              </w:rPr>
              <w:t xml:space="preserve"> – &lt;20&gt; – 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n54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334000 – &lt;20&gt; – 335000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334000 – &lt;20&gt; – 335000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w:t>
            </w:r>
            <w:r>
              <w:rPr>
                <w:rFonts w:eastAsia="Yu Mincho"/>
              </w:rPr>
              <w:t xml:space="preserve"> – &lt;20&gt; – 402000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n66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422000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339000 – &lt;20&gt; – 342000</w:t>
            </w:r>
          </w:p>
        </w:tc>
        <w:tc>
          <w:tcPr>
            <w:tcW w:w="2877" w:type="dxa"/>
            <w:tcBorders>
              <w:top w:val="single" w:color="auto" w:sz="4" w:space="0"/>
              <w:left w:val="single" w:color="auto" w:sz="4" w:space="0"/>
              <w:bottom w:val="single" w:color="auto" w:sz="4" w:space="0"/>
              <w:right w:val="single" w:color="auto" w:sz="4" w:space="0"/>
            </w:tcBorders>
          </w:tcPr>
          <w:p>
            <w:pPr>
              <w:pStyle w:val="52"/>
            </w:pPr>
            <w:r>
              <w:t>399000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132600 – &lt;20&gt; – 139600</w:t>
            </w:r>
          </w:p>
        </w:tc>
        <w:tc>
          <w:tcPr>
            <w:tcW w:w="2877" w:type="dxa"/>
            <w:tcBorders>
              <w:top w:val="single" w:color="auto" w:sz="4" w:space="0"/>
              <w:left w:val="single" w:color="auto" w:sz="4" w:space="0"/>
              <w:bottom w:val="single" w:color="auto" w:sz="4" w:space="0"/>
              <w:right w:val="single" w:color="auto" w:sz="4" w:space="0"/>
            </w:tcBorders>
          </w:tcPr>
          <w:p>
            <w:pPr>
              <w:pStyle w:val="52"/>
            </w:pPr>
            <w:r>
              <w:t>123400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n72</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90200 –</w:t>
            </w:r>
            <w:r>
              <w:t xml:space="preserve"> &lt;20&gt; </w:t>
            </w:r>
            <w:r>
              <w:rPr>
                <w:rFonts w:eastAsia="Yu Mincho"/>
              </w:rPr>
              <w:t>– 91200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92200 –</w:t>
            </w:r>
            <w:r>
              <w:t xml:space="preserve"> &lt;20&gt; </w:t>
            </w:r>
            <w:r>
              <w:rPr>
                <w:rFonts w:eastAsia="Yu Mincho"/>
              </w:rPr>
              <w:t>– 93200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n75</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n76</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N/A</w:t>
            </w:r>
          </w:p>
        </w:tc>
        <w:tc>
          <w:tcPr>
            <w:tcW w:w="2877" w:type="dxa"/>
            <w:tcBorders>
              <w:top w:val="single" w:color="auto" w:sz="4" w:space="0"/>
              <w:left w:val="single" w:color="auto" w:sz="4" w:space="0"/>
              <w:bottom w:val="single" w:color="auto" w:sz="4" w:space="0"/>
              <w:right w:val="single" w:color="auto" w:sz="4" w:space="0"/>
            </w:tcBorders>
          </w:tcPr>
          <w:p>
            <w:pPr>
              <w:pStyle w:val="52"/>
            </w:pPr>
            <w:r>
              <w:t>285400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n77</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n78</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620000 – &lt;1&gt; – 653333</w:t>
            </w:r>
          </w:p>
        </w:tc>
        <w:tc>
          <w:tcPr>
            <w:tcW w:w="2877" w:type="dxa"/>
            <w:tcBorders>
              <w:top w:val="single" w:color="auto" w:sz="4" w:space="0"/>
              <w:left w:val="single" w:color="auto" w:sz="4" w:space="0"/>
              <w:bottom w:val="single" w:color="auto" w:sz="4" w:space="0"/>
              <w:right w:val="single" w:color="auto" w:sz="4" w:space="0"/>
            </w:tcBorders>
          </w:tcPr>
          <w:p>
            <w:pPr>
              <w:pStyle w:val="52"/>
            </w:pPr>
            <w:r>
              <w:t>620000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c>
          <w:tcPr>
            <w:tcW w:w="2877" w:type="dxa"/>
            <w:tcBorders>
              <w:top w:val="single" w:color="auto" w:sz="4" w:space="0"/>
              <w:left w:val="single" w:color="auto" w:sz="4" w:space="0"/>
              <w:bottom w:val="single" w:color="auto" w:sz="4" w:space="0"/>
              <w:right w:val="single" w:color="auto" w:sz="4" w:space="0"/>
            </w:tcBorders>
          </w:tcPr>
          <w:p>
            <w:pPr>
              <w:pStyle w:val="52"/>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right w:val="single" w:color="auto" w:sz="4" w:space="0"/>
            </w:tcBorders>
          </w:tcPr>
          <w:p>
            <w:pPr>
              <w:pStyle w:val="52"/>
            </w:pPr>
            <w:r>
              <w:t>n79</w:t>
            </w:r>
          </w:p>
        </w:tc>
        <w:tc>
          <w:tcPr>
            <w:tcW w:w="1146" w:type="dxa"/>
            <w:tcBorders>
              <w:top w:val="single" w:color="auto" w:sz="4" w:space="0"/>
              <w:left w:val="single" w:color="auto" w:sz="4" w:space="0"/>
              <w:bottom w:val="single" w:color="auto" w:sz="4" w:space="0"/>
              <w:right w:val="single" w:color="auto" w:sz="4" w:space="0"/>
            </w:tcBorders>
          </w:tcPr>
          <w:p>
            <w:pPr>
              <w:pStyle w:val="52"/>
            </w:pPr>
            <w:r>
              <w:t>15</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&lt;1&gt; – 733333</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30</w:t>
            </w:r>
          </w:p>
        </w:tc>
        <w:tc>
          <w:tcPr>
            <w:tcW w:w="2876" w:type="dxa"/>
            <w:tcBorders>
              <w:top w:val="single" w:color="auto" w:sz="4" w:space="0"/>
              <w:left w:val="single" w:color="auto" w:sz="4" w:space="0"/>
              <w:bottom w:val="single" w:color="auto" w:sz="4" w:space="0"/>
              <w:right w:val="single" w:color="auto" w:sz="4" w:space="0"/>
            </w:tcBorders>
          </w:tcPr>
          <w:p>
            <w:pPr>
              <w:pStyle w:val="52"/>
            </w:pPr>
            <w:r>
              <w:t>693334 – &lt;2&gt; – 733332</w:t>
            </w:r>
          </w:p>
        </w:tc>
        <w:tc>
          <w:tcPr>
            <w:tcW w:w="2877" w:type="dxa"/>
            <w:tcBorders>
              <w:top w:val="single" w:color="auto" w:sz="4" w:space="0"/>
              <w:left w:val="single" w:color="auto" w:sz="4" w:space="0"/>
              <w:bottom w:val="single" w:color="auto" w:sz="4" w:space="0"/>
              <w:right w:val="single" w:color="auto" w:sz="4" w:space="0"/>
            </w:tcBorders>
          </w:tcPr>
          <w:p>
            <w:pPr>
              <w:pStyle w:val="52"/>
            </w:pPr>
            <w:r>
              <w:t>693334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n80</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 – &lt;20&gt; – 357000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n81</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n82</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 xml:space="preserve">166400 – &lt;20&gt; – 172400 </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n83</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140600 – &lt;20&gt; –149600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n84</w:t>
            </w:r>
          </w:p>
        </w:tc>
        <w:tc>
          <w:tcPr>
            <w:tcW w:w="1146" w:type="dxa"/>
            <w:tcBorders>
              <w:top w:val="single" w:color="auto" w:sz="4" w:space="0"/>
              <w:left w:val="single" w:color="auto" w:sz="4" w:space="0"/>
              <w:bottom w:val="single" w:color="auto" w:sz="4" w:space="0"/>
              <w:right w:val="single" w:color="auto" w:sz="4" w:space="0"/>
            </w:tcBorders>
          </w:tcPr>
          <w:p>
            <w:pPr>
              <w:pStyle w:val="52"/>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384000 – &lt;20&gt; – 396000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139600 – &lt;20&gt; – 143200</w:t>
            </w:r>
          </w:p>
        </w:tc>
        <w:tc>
          <w:tcPr>
            <w:tcW w:w="2877" w:type="dxa"/>
            <w:tcBorders>
              <w:top w:val="single" w:color="auto" w:sz="4" w:space="0"/>
              <w:left w:val="single" w:color="auto" w:sz="4" w:space="0"/>
              <w:bottom w:val="single" w:color="auto" w:sz="4" w:space="0"/>
              <w:right w:val="single" w:color="auto" w:sz="4" w:space="0"/>
            </w:tcBorders>
          </w:tcPr>
          <w:p>
            <w:pPr>
              <w:pStyle w:val="52"/>
            </w:pPr>
            <w:r>
              <w:t>145600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t>n86</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342000</w:t>
            </w:r>
            <w:r>
              <w:rPr>
                <w:rFonts w:eastAsia="Yu Mincho"/>
              </w:rPr>
              <w:t xml:space="preserve"> – &lt;20&gt; – 356000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 w:author="China Unicom" w:date="2025-11-07T17:04:36Z"/>
        </w:trPr>
        <w:tc>
          <w:tcPr>
            <w:tcW w:w="1242" w:type="dxa"/>
            <w:tcBorders>
              <w:top w:val="single" w:color="auto" w:sz="4" w:space="0"/>
              <w:left w:val="single" w:color="auto" w:sz="4" w:space="0"/>
              <w:bottom w:val="single" w:color="auto" w:sz="4" w:space="0"/>
              <w:right w:val="single" w:color="auto" w:sz="4" w:space="0"/>
            </w:tcBorders>
          </w:tcPr>
          <w:p>
            <w:pPr>
              <w:pStyle w:val="52"/>
              <w:rPr>
                <w:ins w:id="160" w:author="China Unicom" w:date="2025-11-07T17:04:36Z"/>
                <w:rFonts w:hint="default" w:eastAsia="宋体"/>
                <w:lang w:val="en-US" w:eastAsia="zh-CN"/>
              </w:rPr>
            </w:pPr>
            <w:ins w:id="161" w:author="China Unicom" w:date="2025-11-07T17:04:49Z">
              <w:r>
                <w:rPr>
                  <w:rFonts w:hint="eastAsia" w:eastAsia="宋体"/>
                  <w:lang w:val="en-US" w:eastAsia="zh-CN"/>
                </w:rPr>
                <w:t>n87</w:t>
              </w:r>
            </w:ins>
          </w:p>
        </w:tc>
        <w:tc>
          <w:tcPr>
            <w:tcW w:w="1146" w:type="dxa"/>
            <w:tcBorders>
              <w:top w:val="single" w:color="auto" w:sz="4" w:space="0"/>
              <w:left w:val="single" w:color="auto" w:sz="4" w:space="0"/>
              <w:bottom w:val="single" w:color="auto" w:sz="4" w:space="0"/>
              <w:right w:val="single" w:color="auto" w:sz="4" w:space="0"/>
            </w:tcBorders>
          </w:tcPr>
          <w:p>
            <w:pPr>
              <w:pStyle w:val="52"/>
              <w:rPr>
                <w:ins w:id="162" w:author="China Unicom" w:date="2025-11-07T17:04:36Z"/>
                <w:rFonts w:hint="default" w:eastAsia="宋体"/>
                <w:lang w:val="en-US" w:eastAsia="zh-CN"/>
              </w:rPr>
            </w:pPr>
            <w:ins w:id="163" w:author="China Unicom" w:date="2025-11-07T17:04:58Z">
              <w:r>
                <w:rPr>
                  <w:rFonts w:hint="eastAsia" w:eastAsia="宋体"/>
                  <w:lang w:val="en-US" w:eastAsia="zh-CN"/>
                </w:rPr>
                <w:t>100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164" w:author="China Unicom" w:date="2025-11-07T17:04:36Z"/>
              </w:rPr>
            </w:pPr>
            <w:ins w:id="165" w:author="China Unicom" w:date="2025-11-07T17:05:07Z">
              <w:r>
                <w:rPr>
                  <w:rFonts w:eastAsia="等线"/>
                </w:rPr>
                <w:t>82000 – &lt;20&gt; – 83000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166" w:author="China Unicom" w:date="2025-11-07T17:04:36Z"/>
              </w:rPr>
            </w:pPr>
            <w:ins w:id="167" w:author="China Unicom" w:date="2025-11-07T17:05:19Z">
              <w:r>
                <w:rPr>
                  <w:rFonts w:eastAsia="等线"/>
                </w:rPr>
                <w:t>84000 – &lt;20&gt; –</w:t>
              </w:r>
            </w:ins>
            <w:ins w:id="168" w:author="China Unicom" w:date="2025-11-07T17:05:19Z">
              <w:r>
                <w:rPr>
                  <w:rFonts w:hint="eastAsia" w:eastAsia="等线"/>
                </w:rPr>
                <w:t xml:space="preserve"> </w:t>
              </w:r>
            </w:ins>
            <w:ins w:id="169" w:author="China Unicom" w:date="2025-11-07T17:05:19Z">
              <w:r>
                <w:rPr>
                  <w:rFonts w:eastAsia="等线"/>
                </w:rPr>
                <w:t>85000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 w:author="China Unicom" w:date="2025-11-07T17:04:52Z"/>
        </w:trPr>
        <w:tc>
          <w:tcPr>
            <w:tcW w:w="1242" w:type="dxa"/>
            <w:tcBorders>
              <w:top w:val="single" w:color="auto" w:sz="4" w:space="0"/>
              <w:left w:val="single" w:color="auto" w:sz="4" w:space="0"/>
              <w:bottom w:val="single" w:color="auto" w:sz="4" w:space="0"/>
              <w:right w:val="single" w:color="auto" w:sz="4" w:space="0"/>
            </w:tcBorders>
          </w:tcPr>
          <w:p>
            <w:pPr>
              <w:pStyle w:val="52"/>
              <w:rPr>
                <w:ins w:id="171" w:author="China Unicom" w:date="2025-11-07T17:04:52Z"/>
                <w:rFonts w:hint="default" w:eastAsia="宋体"/>
                <w:lang w:val="en-US" w:eastAsia="zh-CN"/>
              </w:rPr>
            </w:pPr>
            <w:ins w:id="172" w:author="China Unicom" w:date="2025-11-07T17:04:54Z">
              <w:r>
                <w:rPr>
                  <w:rFonts w:hint="eastAsia" w:eastAsia="宋体"/>
                  <w:lang w:val="en-US" w:eastAsia="zh-CN"/>
                </w:rPr>
                <w:t>n</w:t>
              </w:r>
            </w:ins>
            <w:ins w:id="173" w:author="China Unicom" w:date="2025-11-07T17:04:56Z">
              <w:r>
                <w:rPr>
                  <w:rFonts w:hint="eastAsia" w:eastAsia="宋体"/>
                  <w:lang w:val="en-US" w:eastAsia="zh-CN"/>
                </w:rPr>
                <w:t>88</w:t>
              </w:r>
            </w:ins>
          </w:p>
        </w:tc>
        <w:tc>
          <w:tcPr>
            <w:tcW w:w="1146" w:type="dxa"/>
            <w:tcBorders>
              <w:top w:val="single" w:color="auto" w:sz="4" w:space="0"/>
              <w:left w:val="single" w:color="auto" w:sz="4" w:space="0"/>
              <w:bottom w:val="single" w:color="auto" w:sz="4" w:space="0"/>
              <w:right w:val="single" w:color="auto" w:sz="4" w:space="0"/>
            </w:tcBorders>
          </w:tcPr>
          <w:p>
            <w:pPr>
              <w:pStyle w:val="52"/>
              <w:rPr>
                <w:ins w:id="174" w:author="China Unicom" w:date="2025-11-07T17:04:52Z"/>
                <w:rFonts w:hint="default" w:eastAsia="宋体"/>
                <w:lang w:val="en-US" w:eastAsia="zh-CN"/>
              </w:rPr>
            </w:pPr>
            <w:ins w:id="175" w:author="China Unicom" w:date="2025-11-07T17:04:59Z">
              <w:r>
                <w:rPr>
                  <w:rFonts w:hint="eastAsia" w:eastAsia="宋体"/>
                  <w:lang w:val="en-US" w:eastAsia="zh-CN"/>
                </w:rPr>
                <w:t>1</w:t>
              </w:r>
            </w:ins>
            <w:ins w:id="176" w:author="China Unicom" w:date="2025-11-07T17:05:00Z">
              <w:r>
                <w:rPr>
                  <w:rFonts w:hint="eastAsia" w:eastAsia="宋体"/>
                  <w:lang w:val="en-US" w:eastAsia="zh-CN"/>
                </w:rPr>
                <w:t>00</w:t>
              </w:r>
            </w:ins>
          </w:p>
        </w:tc>
        <w:tc>
          <w:tcPr>
            <w:tcW w:w="2876" w:type="dxa"/>
            <w:tcBorders>
              <w:top w:val="single" w:color="auto" w:sz="4" w:space="0"/>
              <w:left w:val="single" w:color="auto" w:sz="4" w:space="0"/>
              <w:bottom w:val="single" w:color="auto" w:sz="4" w:space="0"/>
              <w:right w:val="single" w:color="auto" w:sz="4" w:space="0"/>
            </w:tcBorders>
          </w:tcPr>
          <w:p>
            <w:pPr>
              <w:pStyle w:val="52"/>
              <w:rPr>
                <w:ins w:id="177" w:author="China Unicom" w:date="2025-11-07T17:04:52Z"/>
              </w:rPr>
            </w:pPr>
            <w:ins w:id="178" w:author="China Unicom" w:date="2025-11-07T17:05:14Z">
              <w:r>
                <w:rPr>
                  <w:rFonts w:eastAsia="等线"/>
                </w:rPr>
                <w:t>82400 – &lt;20&gt; – 83400</w:t>
              </w:r>
            </w:ins>
          </w:p>
        </w:tc>
        <w:tc>
          <w:tcPr>
            <w:tcW w:w="2877" w:type="dxa"/>
            <w:tcBorders>
              <w:top w:val="single" w:color="auto" w:sz="4" w:space="0"/>
              <w:left w:val="single" w:color="auto" w:sz="4" w:space="0"/>
              <w:bottom w:val="single" w:color="auto" w:sz="4" w:space="0"/>
              <w:right w:val="single" w:color="auto" w:sz="4" w:space="0"/>
            </w:tcBorders>
          </w:tcPr>
          <w:p>
            <w:pPr>
              <w:pStyle w:val="52"/>
              <w:rPr>
                <w:ins w:id="179" w:author="China Unicom" w:date="2025-11-07T17:04:52Z"/>
              </w:rPr>
            </w:pPr>
            <w:ins w:id="180" w:author="China Unicom" w:date="2025-11-07T17:05:24Z">
              <w:r>
                <w:rPr>
                  <w:rFonts w:eastAsia="等线"/>
                </w:rPr>
                <w:t>84400 – &lt;20&gt; – 85400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n91</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n92</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166400</w:t>
            </w:r>
            <w:r>
              <w:rPr>
                <w:rFonts w:eastAsia="Yu Mincho"/>
              </w:rPr>
              <w:t xml:space="preserve"> – &lt;20&gt; – 172400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176000</w:t>
            </w:r>
            <w:r>
              <w:rPr>
                <w:rFonts w:eastAsia="Yu Mincho"/>
              </w:rPr>
              <w:t xml:space="preserve"> – &lt;20&gt; – 183000</w:t>
            </w:r>
          </w:p>
        </w:tc>
        <w:tc>
          <w:tcPr>
            <w:tcW w:w="2877" w:type="dxa"/>
            <w:tcBorders>
              <w:top w:val="single" w:color="auto" w:sz="4" w:space="0"/>
              <w:left w:val="single" w:color="auto" w:sz="4" w:space="0"/>
              <w:bottom w:val="single" w:color="auto" w:sz="4" w:space="0"/>
              <w:right w:val="single" w:color="auto" w:sz="4" w:space="0"/>
            </w:tcBorders>
          </w:tcPr>
          <w:p>
            <w:pPr>
              <w:pStyle w:val="52"/>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lang w:eastAsia="zh-CN"/>
              </w:rPr>
              <w:t>n95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402000 – &lt;20&gt; – 405000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n96</w:t>
            </w:r>
            <w:r>
              <w:rPr>
                <w:vertAlign w:val="superscript"/>
              </w:rPr>
              <w:t>3</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rPr>
                <w:rFonts w:eastAsia="Yu Mincho"/>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t>795000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t>795000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n97</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460000 – &lt;20&gt; – 480000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n98</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376000 – &lt;20&gt; – 384000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lang w:eastAsia="zh-CN"/>
              </w:rPr>
            </w:pPr>
            <w:r>
              <w:t>n99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100</w:t>
            </w:r>
          </w:p>
        </w:tc>
        <w:tc>
          <w:tcPr>
            <w:tcW w:w="2876" w:type="dxa"/>
            <w:tcBorders>
              <w:top w:val="single" w:color="auto" w:sz="4" w:space="0"/>
              <w:left w:val="single" w:color="auto" w:sz="4" w:space="0"/>
              <w:bottom w:val="single" w:color="auto" w:sz="4" w:space="0"/>
              <w:right w:val="single" w:color="auto" w:sz="4" w:space="0"/>
            </w:tcBorders>
          </w:tcPr>
          <w:p>
            <w:pPr>
              <w:pStyle w:val="52"/>
            </w:pPr>
            <w:r>
              <w:t>325300 – &lt;20&gt; – 332100</w:t>
            </w:r>
          </w:p>
        </w:tc>
        <w:tc>
          <w:tcPr>
            <w:tcW w:w="287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174880</w:t>
            </w:r>
            <w:r>
              <w:rPr>
                <w:rFonts w:eastAsia="Yu Mincho"/>
              </w:rPr>
              <w:t xml:space="preserve"> – &lt;20&gt; – 176000</w:t>
            </w:r>
          </w:p>
        </w:tc>
        <w:tc>
          <w:tcPr>
            <w:tcW w:w="2877" w:type="dxa"/>
            <w:tcBorders>
              <w:top w:val="single" w:color="auto" w:sz="4" w:space="0"/>
              <w:left w:val="single" w:color="auto" w:sz="4" w:space="0"/>
              <w:bottom w:val="single" w:color="auto" w:sz="4" w:space="0"/>
              <w:right w:val="single" w:color="auto" w:sz="4" w:space="0"/>
            </w:tcBorders>
          </w:tcPr>
          <w:p>
            <w:pPr>
              <w:pStyle w:val="52"/>
            </w:pPr>
            <w:r>
              <w:t>183880</w:t>
            </w:r>
            <w:r>
              <w:rPr>
                <w:rFonts w:eastAsia="Yu Mincho"/>
              </w:rPr>
              <w:t xml:space="preserve"> – &lt;20&gt; – 185000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n101</w:t>
            </w:r>
          </w:p>
        </w:tc>
        <w:tc>
          <w:tcPr>
            <w:tcW w:w="1146"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c>
          <w:tcPr>
            <w:tcW w:w="2877" w:type="dxa"/>
            <w:tcBorders>
              <w:top w:val="single" w:color="auto" w:sz="4" w:space="0"/>
              <w:left w:val="single" w:color="auto" w:sz="4" w:space="0"/>
              <w:bottom w:val="single" w:color="auto" w:sz="4" w:space="0"/>
              <w:right w:val="single" w:color="auto" w:sz="4" w:space="0"/>
            </w:tcBorders>
          </w:tcPr>
          <w:p>
            <w:pPr>
              <w:pStyle w:val="52"/>
            </w:pPr>
            <w:r>
              <w:t>380000</w:t>
            </w:r>
            <w:r>
              <w:rPr>
                <w:rFonts w:eastAsia="Yu Mincho"/>
              </w:rPr>
              <w:t xml:space="preserve"> – &lt;20&gt; – 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nil"/>
              <w:right w:val="single" w:color="auto" w:sz="4" w:space="0"/>
            </w:tcBorders>
          </w:tcPr>
          <w:p>
            <w:pPr>
              <w:pStyle w:val="52"/>
              <w:rPr>
                <w:rFonts w:eastAsia="宋体"/>
                <w:lang w:val="en-US" w:eastAsia="zh-CN"/>
              </w:rPr>
            </w:pPr>
            <w:r>
              <w:rPr>
                <w:rFonts w:hint="eastAsia" w:eastAsia="宋体"/>
                <w:lang w:val="en-US" w:eastAsia="zh-CN"/>
              </w:rPr>
              <w:t>n104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15</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cs="Arial"/>
                <w:color w:val="000000" w:themeColor="text1"/>
                <w14:textFill>
                  <w14:solidFill>
                    <w14:schemeClr w14:val="tx1"/>
                  </w14:solidFill>
                </w14:textFill>
              </w:rPr>
              <w:t>828334 – &lt;1&gt;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cs="Arial"/>
                <w:color w:val="000000" w:themeColor="text1"/>
                <w14:textFill>
                  <w14:solidFill>
                    <w14:schemeClr w14:val="tx1"/>
                  </w14:solidFill>
                </w14:textFill>
              </w:rPr>
              <w:t>828334 – &lt;1&gt;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nil"/>
              <w:left w:val="single" w:color="auto" w:sz="4" w:space="0"/>
              <w:bottom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30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cs="Arial"/>
                <w:color w:val="000000" w:themeColor="text1"/>
                <w14:textFill>
                  <w14:solidFill>
                    <w14:schemeClr w14:val="tx1"/>
                  </w14:solidFill>
                </w14:textFill>
              </w:rPr>
              <w:t>828334 – &lt;2&gt; – 875000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cs="Arial"/>
                <w:color w:val="000000" w:themeColor="text1"/>
                <w14:textFill>
                  <w14:solidFill>
                    <w14:schemeClr w14:val="tx1"/>
                  </w14:solidFill>
                </w14:textFill>
              </w:rPr>
              <w:t>828334 – &lt;2&gt; – 875000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n105</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eastAsia="Yu Mincho"/>
              </w:rPr>
              <w:t>132600 – &lt;20&gt; – 140600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eastAsia="Yu Mincho"/>
              </w:rPr>
              <w:t>122400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n106</w:t>
            </w:r>
            <w:r>
              <w:rPr>
                <w:vertAlign w:val="superscript"/>
              </w:rPr>
              <w:t>4</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t>179200</w:t>
            </w:r>
            <w:r>
              <w:rPr>
                <w:rFonts w:eastAsia="Yu Mincho"/>
              </w:rPr>
              <w:t xml:space="preserve"> – &lt;20&gt; – 180200</w:t>
            </w:r>
          </w:p>
        </w:tc>
        <w:tc>
          <w:tcPr>
            <w:tcW w:w="2877" w:type="dxa"/>
            <w:tcBorders>
              <w:top w:val="single" w:color="auto" w:sz="4" w:space="0"/>
              <w:left w:val="single" w:color="auto" w:sz="4" w:space="0"/>
              <w:bottom w:val="single" w:color="auto" w:sz="4" w:space="0"/>
              <w:right w:val="single" w:color="auto" w:sz="4" w:space="0"/>
            </w:tcBorders>
          </w:tcPr>
          <w:p>
            <w:pPr>
              <w:pStyle w:val="52"/>
            </w:pPr>
            <w:r>
              <w:t>187000</w:t>
            </w:r>
            <w:r>
              <w:rPr>
                <w:rFonts w:eastAsia="Yu Mincho"/>
              </w:rPr>
              <w:t xml:space="preserve"> – &lt;20&gt; – 188000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n109</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宋体"/>
                <w:lang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pPr>
            <w:r>
              <w:rPr>
                <w:rFonts w:cs="Arial"/>
                <w:szCs w:val="18"/>
              </w:rPr>
              <w:t>140600 – &lt;20&gt; – 146600</w:t>
            </w:r>
          </w:p>
        </w:tc>
        <w:tc>
          <w:tcPr>
            <w:tcW w:w="2877" w:type="dxa"/>
            <w:tcBorders>
              <w:top w:val="single" w:color="auto" w:sz="4" w:space="0"/>
              <w:left w:val="single" w:color="auto" w:sz="4" w:space="0"/>
              <w:bottom w:val="single" w:color="auto" w:sz="4" w:space="0"/>
              <w:right w:val="single" w:color="auto" w:sz="4" w:space="0"/>
            </w:tcBorders>
          </w:tcPr>
          <w:p>
            <w:pPr>
              <w:pStyle w:val="52"/>
            </w:pPr>
            <w:r>
              <w:rPr>
                <w:rFonts w:cs="Arial"/>
                <w:szCs w:val="18"/>
              </w:rPr>
              <w:t>286400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n110</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100</w:t>
            </w:r>
          </w:p>
        </w:tc>
        <w:tc>
          <w:tcPr>
            <w:tcW w:w="287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hint="eastAsia" w:eastAsia="Yu Mincho" w:cs="Arial"/>
                <w:szCs w:val="18"/>
                <w:lang w:eastAsia="ja-JP"/>
              </w:rPr>
              <w:t>278000</w:t>
            </w:r>
            <w:r>
              <w:rPr>
                <w:rFonts w:cs="Arial"/>
                <w:szCs w:val="18"/>
              </w:rPr>
              <w:t xml:space="preserve"> – &lt;20&gt; – </w:t>
            </w:r>
            <w:r>
              <w:rPr>
                <w:rFonts w:hint="eastAsia" w:cs="Arial"/>
                <w:szCs w:val="18"/>
                <w:lang w:eastAsia="ja-JP"/>
              </w:rPr>
              <w:t>279000</w:t>
            </w:r>
          </w:p>
        </w:tc>
        <w:tc>
          <w:tcPr>
            <w:tcW w:w="287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 xml:space="preserve">286400 – &lt;20&gt; – </w:t>
            </w:r>
            <w:r>
              <w:rPr>
                <w:rFonts w:hint="eastAsia" w:cs="Arial"/>
                <w:szCs w:val="18"/>
                <w:lang w:eastAsia="ja-JP"/>
              </w:rPr>
              <w:t>2870</w:t>
            </w:r>
            <w:r>
              <w:rPr>
                <w:rFonts w:cs="Arial"/>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The channel numbers that designate carrier frequencies so close to the operating band edges that the carrier extends beyond the operating band edge shall not be used.</w:t>
            </w:r>
          </w:p>
          <w:p>
            <w:pPr>
              <w:pStyle w:val="66"/>
            </w:pPr>
            <w:r>
              <w:t>NOTE 2:</w:t>
            </w:r>
            <w:r>
              <w:tab/>
            </w:r>
            <w:r>
              <w:t>The following N</w:t>
            </w:r>
            <w:r>
              <w:rPr>
                <w:vertAlign w:val="subscript"/>
              </w:rPr>
              <w:t>REF</w:t>
            </w:r>
            <w:r>
              <w:t xml:space="preserve"> are allowed for operation in Band n46: see Table 5.4.2.3-2.</w:t>
            </w:r>
          </w:p>
          <w:p>
            <w:pPr>
              <w:pStyle w:val="66"/>
            </w:pPr>
            <w:r>
              <w:t>NOTE 3:</w:t>
            </w:r>
            <w:r>
              <w:tab/>
            </w:r>
            <w:r>
              <w:t>The following N</w:t>
            </w:r>
            <w:r>
              <w:rPr>
                <w:vertAlign w:val="subscript"/>
              </w:rPr>
              <w:t>REF</w:t>
            </w:r>
            <w:r>
              <w:t xml:space="preserve"> are allowed for operation in Band n96: see Table 5.4.2.3-3.</w:t>
            </w:r>
          </w:p>
          <w:p>
            <w:pPr>
              <w:pStyle w:val="66"/>
            </w:pPr>
            <w:r>
              <w:t>NOTE 4:</w:t>
            </w:r>
            <w:r>
              <w:tab/>
            </w:r>
            <w:r>
              <w:t>In the Rel-18 version of the specification, only N</w:t>
            </w:r>
            <w:r>
              <w:rPr>
                <w:vertAlign w:val="subscript"/>
              </w:rPr>
              <w:t>REF</w:t>
            </w:r>
            <w:r>
              <w:t xml:space="preserve"> 179800 and 187600 is applicable for 3 MHz channel bandwidth.</w:t>
            </w:r>
          </w:p>
        </w:tc>
      </w:tr>
    </w:tbl>
    <w:p/>
    <w:p>
      <w:pPr>
        <w:pStyle w:val="55"/>
      </w:pPr>
      <w:r>
        <w:t>Table 5.4.2.3-2: Allowed N</w:t>
      </w:r>
      <w:r>
        <w:rPr>
          <w:vertAlign w:val="subscript"/>
        </w:rPr>
        <w:t>REF</w:t>
      </w:r>
      <w:r>
        <w:t xml:space="preserve"> (NR-ARFCN) for operation in Band n46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51"/>
            </w:pPr>
            <w:r>
              <w:t>Channel Bandwidth</w:t>
            </w:r>
          </w:p>
        </w:tc>
        <w:tc>
          <w:tcPr>
            <w:tcW w:w="5100" w:type="dxa"/>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53"/>
            </w:pPr>
            <w:r>
              <w:t>10 MHz</w:t>
            </w:r>
          </w:p>
        </w:tc>
        <w:tc>
          <w:tcPr>
            <w:tcW w:w="5100" w:type="dxa"/>
          </w:tcPr>
          <w:p>
            <w:pPr>
              <w:pStyle w:val="53"/>
            </w:pPr>
            <w:r>
              <w:t>782000, 788668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53"/>
            </w:pPr>
            <w:r>
              <w:t>20 MHz</w:t>
            </w:r>
          </w:p>
        </w:tc>
        <w:tc>
          <w:tcPr>
            <w:tcW w:w="5100" w:type="dxa"/>
          </w:tcPr>
          <w:p>
            <w:pPr>
              <w:pStyle w:val="53"/>
            </w:pPr>
            <w:r>
              <w:t>744000, 745332, 746668, 748000, 749332, 750668, 752000, 753332, 754668, 756000, 765332, 766668, 768000, 769332, 770668, 772000, 773332, 774668, 776000, 777332, 778668, 780000, 781332, 783000, 784332, 785668, 787000, 788332, 789668, 791000, 792332, 793668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53"/>
            </w:pPr>
            <w:r>
              <w:t>40 MHz</w:t>
            </w:r>
          </w:p>
        </w:tc>
        <w:tc>
          <w:tcPr>
            <w:tcW w:w="5100" w:type="dxa"/>
          </w:tcPr>
          <w:p>
            <w:pPr>
              <w:pStyle w:val="53"/>
            </w:pPr>
            <w:r>
              <w:t>744668, 746000, 748668, 751332, 754000, 755332, 766000, 767332, 770000, 772668, 775332, 778000, 780668, 783668, 786332, 787668, 790332, 793000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53"/>
            </w:pPr>
            <w:r>
              <w:t>60 MHz</w:t>
            </w:r>
          </w:p>
        </w:tc>
        <w:tc>
          <w:tcPr>
            <w:tcW w:w="5100" w:type="dxa"/>
          </w:tcPr>
          <w:p>
            <w:pPr>
              <w:pStyle w:val="53"/>
            </w:pPr>
            <w:r>
              <w:t>745332, 746668, 748000, 752000, 753332, 754668, 766668, 768000, 769332, 773332, 774668, 778668, 780000, 784332, 785668, 787000, 791000, 792332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53"/>
            </w:pPr>
            <w:r>
              <w:t>80 MHz</w:t>
            </w:r>
          </w:p>
        </w:tc>
        <w:tc>
          <w:tcPr>
            <w:tcW w:w="5100" w:type="dxa"/>
          </w:tcPr>
          <w:p>
            <w:pPr>
              <w:pStyle w:val="53"/>
            </w:pPr>
            <w:r>
              <w:t>746000, 747332, 752668, 754000, 767332, 768668, 774000, 779332, 785000, 786332, 791668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535" w:type="dxa"/>
            <w:gridSpan w:val="2"/>
          </w:tcPr>
          <w:p>
            <w:pPr>
              <w:pStyle w:val="66"/>
            </w:pPr>
            <w:r>
              <w:t>NOTE:</w:t>
            </w:r>
            <w:r>
              <w:tab/>
            </w:r>
            <w:r>
              <w:t>10 MHz channel bandwidth shall only apply in certain regions where the absence of non 3GPP technologies can be guaranteed on a long-term basis in this version of specification.</w:t>
            </w:r>
          </w:p>
        </w:tc>
      </w:tr>
    </w:tbl>
    <w:p/>
    <w:p>
      <w:pPr>
        <w:pStyle w:val="55"/>
      </w:pPr>
      <w:r>
        <w:t>Table 5.4.2.3-3: Allowed N</w:t>
      </w:r>
      <w:r>
        <w:rPr>
          <w:vertAlign w:val="subscript"/>
        </w:rPr>
        <w:t>REF</w:t>
      </w:r>
      <w:r>
        <w:t xml:space="preserve"> (NR-ARFCN) for operation in Band n96</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5"/>
        <w:gridCol w:w="5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51"/>
            </w:pPr>
            <w:r>
              <w:t>Channel Bandwidth</w:t>
            </w:r>
          </w:p>
        </w:tc>
        <w:tc>
          <w:tcPr>
            <w:tcW w:w="5100" w:type="dxa"/>
          </w:tcPr>
          <w:p>
            <w:pPr>
              <w:pStyle w:val="51"/>
            </w:pPr>
            <w:r>
              <w:t>Allowed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52"/>
            </w:pPr>
            <w:r>
              <w:t>20 MHz</w:t>
            </w:r>
          </w:p>
        </w:tc>
        <w:tc>
          <w:tcPr>
            <w:tcW w:w="5100" w:type="dxa"/>
          </w:tcPr>
          <w:p>
            <w:pPr>
              <w:pStyle w:val="52"/>
            </w:pPr>
            <w:r>
              <w:t xml:space="preserve">797000, 798332, 799668, 801000, 802332, 803668, 805000, 806332, 807668, 809000, 810332, 811668, 813000, 814332, </w:t>
            </w:r>
          </w:p>
          <w:p>
            <w:pPr>
              <w:pStyle w:val="52"/>
            </w:pPr>
            <w: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52"/>
            </w:pPr>
            <w:r>
              <w:t>40 MHz</w:t>
            </w:r>
          </w:p>
        </w:tc>
        <w:tc>
          <w:tcPr>
            <w:tcW w:w="5100" w:type="dxa"/>
          </w:tcPr>
          <w:p>
            <w:pPr>
              <w:pStyle w:val="52"/>
            </w:pPr>
            <w:r>
              <w:t xml:space="preserve">797668, 800332, 803000, 805668, 808332, 811000, 813668, 816332, 819000, 821668, 824332, 827000, 829668, 832332, 835000, 837668, 840332, 843000, 845668, 848332, 851000, 853668, 856332, 859000, 861668, 864332, 867000, 869668, </w:t>
            </w:r>
          </w:p>
          <w:p>
            <w:pPr>
              <w:pStyle w:val="52"/>
            </w:pPr>
            <w:r>
              <w:t>872332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52"/>
            </w:pPr>
            <w:r>
              <w:t>60 MHz</w:t>
            </w:r>
          </w:p>
        </w:tc>
        <w:tc>
          <w:tcPr>
            <w:tcW w:w="5100" w:type="dxa"/>
          </w:tcPr>
          <w:p>
            <w:pPr>
              <w:pStyle w:val="52"/>
            </w:pPr>
            <w:r>
              <w:t>798332, 799668, 803668, 805000, 809000, 810332, 814332, 815668, 819668, 821000, 825000, 826332, 830332, 831668, 835668, 837000, 841000, 842332, 846332, 847668, 851668, 853000, 857000, 858332, 862332, 863668, 867668, 869000, 873000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35" w:type="dxa"/>
          </w:tcPr>
          <w:p>
            <w:pPr>
              <w:pStyle w:val="52"/>
            </w:pPr>
            <w:r>
              <w:t>80 MHz</w:t>
            </w:r>
          </w:p>
        </w:tc>
        <w:tc>
          <w:tcPr>
            <w:tcW w:w="5100" w:type="dxa"/>
          </w:tcPr>
          <w:p>
            <w:pPr>
              <w:pStyle w:val="52"/>
            </w:pPr>
            <w:r>
              <w:t>799000, 804332, 809668, 815000, 820332, 825668, 831000, 836332, 841668, 847000, 852332, 857668, 863000, 868332</w:t>
            </w:r>
          </w:p>
        </w:tc>
      </w:tr>
    </w:tbl>
    <w:p/>
    <w:p>
      <w:pPr>
        <w:pStyle w:val="4"/>
      </w:pPr>
      <w:bookmarkStart w:id="83" w:name="_Toc52989851"/>
      <w:bookmarkStart w:id="84" w:name="_Toc36226445"/>
      <w:bookmarkStart w:id="85" w:name="_Toc69305860"/>
      <w:bookmarkStart w:id="86" w:name="_Toc83720496"/>
      <w:bookmarkStart w:id="87" w:name="_Toc44323700"/>
      <w:bookmarkStart w:id="88" w:name="_Toc90917303"/>
      <w:bookmarkStart w:id="89" w:name="_Toc76020026"/>
      <w:bookmarkStart w:id="90" w:name="_Toc27477766"/>
      <w:bookmarkStart w:id="91" w:name="_Toc60824963"/>
      <w:bookmarkStart w:id="92" w:name="_Toc60823040"/>
      <w:bookmarkStart w:id="93" w:name="_Toc90916547"/>
      <w:bookmarkStart w:id="94" w:name="_Toc90916350"/>
      <w:bookmarkStart w:id="95" w:name="_Toc69309715"/>
      <w:r>
        <w:t>5.4.3</w:t>
      </w:r>
      <w:r>
        <w:tab/>
      </w:r>
      <w:r>
        <w:t>Synchronization raster</w:t>
      </w:r>
      <w:bookmarkEnd w:id="83"/>
      <w:bookmarkEnd w:id="84"/>
      <w:bookmarkEnd w:id="85"/>
      <w:bookmarkEnd w:id="86"/>
      <w:bookmarkEnd w:id="87"/>
      <w:bookmarkEnd w:id="88"/>
      <w:bookmarkEnd w:id="89"/>
      <w:bookmarkEnd w:id="90"/>
      <w:bookmarkEnd w:id="91"/>
      <w:bookmarkEnd w:id="92"/>
      <w:bookmarkEnd w:id="93"/>
      <w:bookmarkEnd w:id="94"/>
      <w:bookmarkEnd w:id="95"/>
    </w:p>
    <w:p>
      <w:pPr>
        <w:pStyle w:val="5"/>
      </w:pPr>
      <w:bookmarkStart w:id="96" w:name="_Toc60824964"/>
      <w:bookmarkStart w:id="97" w:name="_Toc90916351"/>
      <w:bookmarkStart w:id="98" w:name="_Toc90916548"/>
      <w:bookmarkStart w:id="99" w:name="_Toc44323701"/>
      <w:bookmarkStart w:id="100" w:name="_Toc90917304"/>
      <w:bookmarkStart w:id="101" w:name="_Toc60823041"/>
      <w:bookmarkStart w:id="102" w:name="_Toc76020027"/>
      <w:bookmarkStart w:id="103" w:name="_Toc69309716"/>
      <w:bookmarkStart w:id="104" w:name="_Toc69305861"/>
      <w:bookmarkStart w:id="105" w:name="_Toc36226446"/>
      <w:bookmarkStart w:id="106" w:name="_Toc52989852"/>
      <w:bookmarkStart w:id="107" w:name="_Toc83720497"/>
      <w:bookmarkStart w:id="108" w:name="_Toc27477767"/>
      <w:r>
        <w:t>5.4.3.1</w:t>
      </w:r>
      <w:r>
        <w:tab/>
      </w:r>
      <w:r>
        <w:t>Synchronization raster and numbering</w:t>
      </w:r>
      <w:bookmarkEnd w:id="96"/>
      <w:bookmarkEnd w:id="97"/>
      <w:bookmarkEnd w:id="98"/>
      <w:bookmarkEnd w:id="99"/>
      <w:bookmarkEnd w:id="100"/>
      <w:bookmarkEnd w:id="101"/>
      <w:bookmarkEnd w:id="102"/>
      <w:bookmarkEnd w:id="103"/>
      <w:bookmarkEnd w:id="104"/>
      <w:bookmarkEnd w:id="105"/>
      <w:bookmarkEnd w:id="106"/>
      <w:bookmarkEnd w:id="107"/>
      <w:bookmarkEnd w:id="108"/>
    </w:p>
    <w:p>
      <w:r>
        <w:t>The synchronization raster indicates the frequency positions of the synchronization block that can be used by the UE for system acquisition when explicit signalling of the synchronization block position is not present.</w:t>
      </w:r>
    </w:p>
    <w:p>
      <w:r>
        <w:t>A global synchronization raster is defined for all frequencies. The frequency position of the SS block is defined as SS</w:t>
      </w:r>
      <w:r>
        <w:rPr>
          <w:vertAlign w:val="subscript"/>
        </w:rPr>
        <w:t xml:space="preserve">REF </w:t>
      </w:r>
      <w:r>
        <w:t>with corresponding number GSCN. The parameters defining the SS</w:t>
      </w:r>
      <w:r>
        <w:rPr>
          <w:vertAlign w:val="subscript"/>
        </w:rPr>
        <w:t>REF</w:t>
      </w:r>
      <w:r>
        <w:t xml:space="preserve"> and GSCN for all the frequency ranges are in Table 5.4.3.1-1</w:t>
      </w:r>
      <w:r>
        <w:rPr>
          <w:rFonts w:eastAsia="Yu Mincho"/>
        </w:rPr>
        <w:t xml:space="preserve"> for above 3 MHz channel bandwidth and in table 5.4.3.1-2 for 3 MHz channel bandwidth</w:t>
      </w:r>
      <w:r>
        <w:t>.</w:t>
      </w:r>
    </w:p>
    <w:p>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r>
        <w:t>.</w:t>
      </w:r>
    </w:p>
    <w:p>
      <w:r>
        <w:t>The resource element corresponding to the SS block reference frequency SS</w:t>
      </w:r>
      <w:r>
        <w:rPr>
          <w:vertAlign w:val="subscript"/>
        </w:rPr>
        <w:t>REF</w:t>
      </w:r>
      <w:r>
        <w:t xml:space="preserve"> is given in subclause 5.4.3.2. The synchronization raster and the subcarrier spacing of the synchronization block are defined separately for each band.</w:t>
      </w:r>
    </w:p>
    <w:p>
      <w:r>
        <w:t>The synchronization raster and the corresponding SS block do not cover all possible RF channel bandwidths and locations on Enhanced channel raster.</w:t>
      </w:r>
    </w:p>
    <w:p>
      <w:pPr>
        <w:pStyle w:val="55"/>
      </w:pPr>
      <w:r>
        <w:t>Table 5.4.3.1-1: GSCN parameters for the global frequency raster for above 3 MHz channel bandwidth</w:t>
      </w:r>
    </w:p>
    <w:tbl>
      <w:tblPr>
        <w:tblStyle w:val="42"/>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vAlign w:val="center"/>
          </w:tcPr>
          <w:p>
            <w:pPr>
              <w:pStyle w:val="51"/>
            </w:pPr>
            <w:r>
              <w:t>Frequency range</w:t>
            </w:r>
          </w:p>
        </w:tc>
        <w:tc>
          <w:tcPr>
            <w:tcW w:w="3534" w:type="dxa"/>
            <w:vAlign w:val="center"/>
          </w:tcPr>
          <w:p>
            <w:pPr>
              <w:pStyle w:val="51"/>
            </w:pPr>
            <w:r>
              <w:t>SS Block frequency position SS</w:t>
            </w:r>
            <w:r>
              <w:rPr>
                <w:vertAlign w:val="subscript"/>
              </w:rPr>
              <w:t>REF</w:t>
            </w:r>
          </w:p>
        </w:tc>
        <w:tc>
          <w:tcPr>
            <w:tcW w:w="1927" w:type="dxa"/>
            <w:vAlign w:val="center"/>
          </w:tcPr>
          <w:p>
            <w:pPr>
              <w:pStyle w:val="51"/>
            </w:pPr>
            <w:r>
              <w:t>GSCN</w:t>
            </w:r>
          </w:p>
        </w:tc>
        <w:tc>
          <w:tcPr>
            <w:tcW w:w="1995" w:type="dxa"/>
            <w:vAlign w:val="center"/>
          </w:tcPr>
          <w:p>
            <w:pPr>
              <w:pStyle w:val="51"/>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vAlign w:val="center"/>
          </w:tcPr>
          <w:p>
            <w:pPr>
              <w:pStyle w:val="52"/>
              <w:rPr>
                <w:b/>
              </w:rPr>
            </w:pPr>
            <w:r>
              <w:t>0 – 3000 MHz</w:t>
            </w:r>
          </w:p>
        </w:tc>
        <w:tc>
          <w:tcPr>
            <w:tcW w:w="3534" w:type="dxa"/>
            <w:vAlign w:val="center"/>
          </w:tcPr>
          <w:p>
            <w:pPr>
              <w:pStyle w:val="52"/>
            </w:pPr>
            <w:r>
              <w:t xml:space="preserve">N * 1200kHz + M * 50 kHz, </w:t>
            </w:r>
          </w:p>
          <w:p>
            <w:pPr>
              <w:pStyle w:val="52"/>
              <w:rPr>
                <w:b/>
              </w:rPr>
            </w:pPr>
            <w:r>
              <w:t>N=1:2499, M ϵ {1,3,5} (Note 1)</w:t>
            </w:r>
          </w:p>
        </w:tc>
        <w:tc>
          <w:tcPr>
            <w:tcW w:w="1927" w:type="dxa"/>
            <w:vAlign w:val="center"/>
          </w:tcPr>
          <w:p>
            <w:pPr>
              <w:pStyle w:val="52"/>
            </w:pPr>
            <w:r>
              <w:t>3N + (M-3)/2</w:t>
            </w:r>
          </w:p>
        </w:tc>
        <w:tc>
          <w:tcPr>
            <w:tcW w:w="1995" w:type="dxa"/>
            <w:vAlign w:val="center"/>
          </w:tcPr>
          <w:p>
            <w:pPr>
              <w:pStyle w:val="52"/>
              <w:rPr>
                <w:b/>
              </w:rPr>
            </w:pPr>
            <w: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vAlign w:val="center"/>
          </w:tcPr>
          <w:p>
            <w:pPr>
              <w:pStyle w:val="52"/>
              <w:rPr>
                <w:b/>
              </w:rPr>
            </w:pPr>
            <w:r>
              <w:t>3000 - 24250 MHz</w:t>
            </w:r>
          </w:p>
        </w:tc>
        <w:tc>
          <w:tcPr>
            <w:tcW w:w="3534" w:type="dxa"/>
            <w:vAlign w:val="center"/>
          </w:tcPr>
          <w:p>
            <w:pPr>
              <w:pStyle w:val="52"/>
            </w:pPr>
            <w:r>
              <w:t>3000 MHz + N * 1.44 MHz</w:t>
            </w:r>
          </w:p>
          <w:p>
            <w:pPr>
              <w:pStyle w:val="52"/>
              <w:rPr>
                <w:b/>
              </w:rPr>
            </w:pPr>
            <w:r>
              <w:t>N = 0:14756</w:t>
            </w:r>
          </w:p>
        </w:tc>
        <w:tc>
          <w:tcPr>
            <w:tcW w:w="1927" w:type="dxa"/>
          </w:tcPr>
          <w:p>
            <w:pPr>
              <w:pStyle w:val="52"/>
            </w:pPr>
            <w:r>
              <w:t>7499 + N</w:t>
            </w:r>
          </w:p>
        </w:tc>
        <w:tc>
          <w:tcPr>
            <w:tcW w:w="1995" w:type="dxa"/>
            <w:vAlign w:val="center"/>
          </w:tcPr>
          <w:p>
            <w:pPr>
              <w:pStyle w:val="52"/>
              <w:rPr>
                <w:b/>
              </w:rPr>
            </w:pPr>
            <w: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4"/>
            <w:vAlign w:val="center"/>
          </w:tcPr>
          <w:p>
            <w:pPr>
              <w:pStyle w:val="66"/>
            </w:pPr>
            <w:r>
              <w:t>NOTE 1: The default value for operating bands with SCS spaced channel raster is M=3.</w:t>
            </w:r>
          </w:p>
        </w:tc>
      </w:tr>
    </w:tbl>
    <w:p>
      <w:pPr>
        <w:rPr>
          <w:lang w:eastAsia="zh-CN"/>
        </w:rPr>
      </w:pPr>
    </w:p>
    <w:p>
      <w:pPr>
        <w:pStyle w:val="55"/>
        <w:ind w:firstLine="400"/>
      </w:pPr>
      <w:r>
        <w:t xml:space="preserve">Table 5.4.3.1-2: </w:t>
      </w:r>
      <w:r>
        <w:rPr>
          <w:rFonts w:eastAsia="Yu Mincho"/>
        </w:rPr>
        <w:t>GSCN parameters for the global frequency for 3 MHz channel bandwidth</w:t>
      </w:r>
    </w:p>
    <w:tbl>
      <w:tblPr>
        <w:tblStyle w:val="42"/>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3534"/>
        <w:gridCol w:w="1927"/>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vAlign w:val="center"/>
          </w:tcPr>
          <w:p>
            <w:pPr>
              <w:pStyle w:val="51"/>
            </w:pPr>
            <w:r>
              <w:t>Range of frequencies (MHz)</w:t>
            </w:r>
          </w:p>
        </w:tc>
        <w:tc>
          <w:tcPr>
            <w:tcW w:w="3534" w:type="dxa"/>
            <w:vAlign w:val="center"/>
          </w:tcPr>
          <w:p>
            <w:pPr>
              <w:pStyle w:val="51"/>
            </w:pPr>
            <w:r>
              <w:t>SS block frequency position SS</w:t>
            </w:r>
            <w:r>
              <w:rPr>
                <w:vertAlign w:val="subscript"/>
              </w:rPr>
              <w:t>REF</w:t>
            </w:r>
          </w:p>
        </w:tc>
        <w:tc>
          <w:tcPr>
            <w:tcW w:w="1927" w:type="dxa"/>
            <w:vAlign w:val="center"/>
          </w:tcPr>
          <w:p>
            <w:pPr>
              <w:pStyle w:val="51"/>
            </w:pPr>
            <w:r>
              <w:t>GSCN</w:t>
            </w:r>
          </w:p>
        </w:tc>
        <w:tc>
          <w:tcPr>
            <w:tcW w:w="1995" w:type="dxa"/>
            <w:vAlign w:val="center"/>
          </w:tcPr>
          <w:p>
            <w:pPr>
              <w:pStyle w:val="51"/>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1" w:type="dxa"/>
            <w:vAlign w:val="center"/>
          </w:tcPr>
          <w:p>
            <w:pPr>
              <w:pStyle w:val="52"/>
              <w:rPr>
                <w:b/>
              </w:rPr>
            </w:pPr>
            <w:r>
              <w:t>0 – 1000</w:t>
            </w:r>
          </w:p>
        </w:tc>
        <w:tc>
          <w:tcPr>
            <w:tcW w:w="3534" w:type="dxa"/>
            <w:vAlign w:val="center"/>
          </w:tcPr>
          <w:p>
            <w:pPr>
              <w:pStyle w:val="52"/>
            </w:pPr>
            <w:r>
              <w:t>N * 600 kHz + M * 50 kHz + 300 kHz,</w:t>
            </w:r>
          </w:p>
          <w:p>
            <w:pPr>
              <w:pStyle w:val="52"/>
              <w:rPr>
                <w:b/>
              </w:rPr>
            </w:pPr>
            <w:r>
              <w:t>N = 1:1665, M ϵ {1,3,5} (Note 1)</w:t>
            </w:r>
          </w:p>
        </w:tc>
        <w:tc>
          <w:tcPr>
            <w:tcW w:w="1927" w:type="dxa"/>
            <w:vAlign w:val="center"/>
          </w:tcPr>
          <w:p>
            <w:pPr>
              <w:pStyle w:val="52"/>
            </w:pPr>
            <w:r>
              <w:t>26638+3N + (M-3)/2</w:t>
            </w:r>
          </w:p>
        </w:tc>
        <w:tc>
          <w:tcPr>
            <w:tcW w:w="1995" w:type="dxa"/>
            <w:vAlign w:val="center"/>
          </w:tcPr>
          <w:p>
            <w:pPr>
              <w:pStyle w:val="52"/>
              <w:rPr>
                <w:b/>
              </w:rPr>
            </w:pPr>
            <w:r>
              <w:t>26640 – 31634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7" w:type="dxa"/>
            <w:gridSpan w:val="4"/>
            <w:tcBorders>
              <w:top w:val="single" w:color="auto" w:sz="4" w:space="0"/>
              <w:left w:val="single" w:color="auto" w:sz="4" w:space="0"/>
              <w:bottom w:val="single" w:color="auto" w:sz="4" w:space="0"/>
              <w:right w:val="single" w:color="auto" w:sz="4" w:space="0"/>
            </w:tcBorders>
            <w:vAlign w:val="center"/>
          </w:tcPr>
          <w:p>
            <w:pPr>
              <w:pStyle w:val="66"/>
            </w:pPr>
            <w:r>
              <w:rPr>
                <w:rFonts w:cs="Arial"/>
              </w:rPr>
              <w:t>NOTE 1:</w:t>
            </w:r>
            <w:r>
              <w:rPr>
                <w:rFonts w:cs="Arial"/>
              </w:rPr>
              <w:tab/>
            </w:r>
            <w:r>
              <w:rPr>
                <w:rFonts w:cs="Arial"/>
              </w:rPr>
              <w:t>Only applicable for 15 PRB transmission bandwidth configuration within 3 MHz channel bandwidth with punctured PBCH defined in TS 38.211 [8] clause 7.4.3.1.</w:t>
            </w:r>
          </w:p>
        </w:tc>
      </w:tr>
    </w:tbl>
    <w:p>
      <w:pPr>
        <w:rPr>
          <w:lang w:eastAsia="zh-CN"/>
        </w:rPr>
      </w:pPr>
    </w:p>
    <w:p>
      <w:pPr>
        <w:pStyle w:val="55"/>
        <w:spacing w:before="120" w:after="120"/>
      </w:pPr>
      <w:r>
        <w:t>Table 5.4.3.1-</w:t>
      </w:r>
      <w:r>
        <w:rPr>
          <w:rFonts w:eastAsia="宋体"/>
          <w:lang w:eastAsia="zh-CN"/>
        </w:rPr>
        <w:t>3</w:t>
      </w:r>
      <w:r>
        <w:t xml:space="preserve">: </w:t>
      </w:r>
      <w:r>
        <w:rPr>
          <w:rFonts w:eastAsia="宋体"/>
          <w:lang w:eastAsia="zh-CN"/>
        </w:rPr>
        <w:t xml:space="preserve">Additional </w:t>
      </w:r>
      <w:r>
        <w:t xml:space="preserve">GSCN parameters for </w:t>
      </w:r>
      <w:r>
        <w:rPr>
          <w:rFonts w:eastAsia="宋体"/>
          <w:lang w:eastAsia="zh-CN"/>
        </w:rPr>
        <w:t>band n100</w:t>
      </w:r>
    </w:p>
    <w:tbl>
      <w:tblPr>
        <w:tblStyle w:val="42"/>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60"/>
        <w:gridCol w:w="1276"/>
        <w:gridCol w:w="4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vAlign w:val="center"/>
          </w:tcPr>
          <w:p>
            <w:pPr>
              <w:pStyle w:val="51"/>
              <w:rPr>
                <w:vertAlign w:val="subscript"/>
              </w:rPr>
            </w:pPr>
            <w:r>
              <w:t>SS Block frequency position SS</w:t>
            </w:r>
            <w:r>
              <w:rPr>
                <w:vertAlign w:val="subscript"/>
              </w:rPr>
              <w:t>REF</w:t>
            </w:r>
          </w:p>
          <w:p>
            <w:pPr>
              <w:pStyle w:val="51"/>
            </w:pPr>
            <w:r>
              <w:t>(MHz)</w:t>
            </w:r>
          </w:p>
        </w:tc>
        <w:tc>
          <w:tcPr>
            <w:tcW w:w="703" w:type="pct"/>
            <w:vAlign w:val="center"/>
          </w:tcPr>
          <w:p>
            <w:pPr>
              <w:pStyle w:val="51"/>
            </w:pPr>
            <w:r>
              <w:t>GSCN</w:t>
            </w:r>
          </w:p>
        </w:tc>
        <w:tc>
          <w:tcPr>
            <w:tcW w:w="2500" w:type="pct"/>
            <w:vAlign w:val="center"/>
          </w:tcPr>
          <w:p>
            <w:pPr>
              <w:pStyle w:val="51"/>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797" w:type="pct"/>
            <w:vAlign w:val="center"/>
          </w:tcPr>
          <w:p>
            <w:pPr>
              <w:pStyle w:val="52"/>
              <w:rPr>
                <w:bCs/>
              </w:rPr>
            </w:pPr>
            <w:r>
              <w:rPr>
                <w:bCs/>
                <w:lang w:eastAsia="zh-CN"/>
              </w:rPr>
              <w:t>920.73</w:t>
            </w:r>
          </w:p>
        </w:tc>
        <w:tc>
          <w:tcPr>
            <w:tcW w:w="703" w:type="pct"/>
            <w:vAlign w:val="center"/>
          </w:tcPr>
          <w:p>
            <w:pPr>
              <w:pStyle w:val="52"/>
              <w:rPr>
                <w:bCs/>
              </w:rPr>
            </w:pPr>
            <w:r>
              <w:rPr>
                <w:bCs/>
                <w:lang w:eastAsia="zh-CN"/>
              </w:rPr>
              <w:t>41637</w:t>
            </w:r>
          </w:p>
        </w:tc>
        <w:tc>
          <w:tcPr>
            <w:tcW w:w="2500" w:type="pct"/>
            <w:vAlign w:val="center"/>
          </w:tcPr>
          <w:p>
            <w:pPr>
              <w:pStyle w:val="52"/>
              <w:rPr>
                <w:bCs/>
                <w:lang w:eastAsia="zh-CN"/>
              </w:rPr>
            </w:pP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pct"/>
            <w:vAlign w:val="center"/>
          </w:tcPr>
          <w:p>
            <w:pPr>
              <w:pStyle w:val="52"/>
              <w:rPr>
                <w:bCs/>
              </w:rPr>
            </w:pPr>
            <w:r>
              <w:rPr>
                <w:bCs/>
                <w:lang w:eastAsia="zh-CN"/>
              </w:rPr>
              <w:t>921.45</w:t>
            </w:r>
          </w:p>
        </w:tc>
        <w:tc>
          <w:tcPr>
            <w:tcW w:w="703" w:type="pct"/>
            <w:vAlign w:val="center"/>
          </w:tcPr>
          <w:p>
            <w:pPr>
              <w:pStyle w:val="52"/>
              <w:rPr>
                <w:bCs/>
              </w:rPr>
            </w:pPr>
            <w:r>
              <w:rPr>
                <w:bCs/>
                <w:lang w:eastAsia="zh-CN"/>
              </w:rPr>
              <w:t>41638</w:t>
            </w:r>
          </w:p>
        </w:tc>
        <w:tc>
          <w:tcPr>
            <w:tcW w:w="2500" w:type="pct"/>
            <w:vAlign w:val="center"/>
          </w:tcPr>
          <w:p>
            <w:pPr>
              <w:pStyle w:val="52"/>
              <w:rPr>
                <w:bCs/>
              </w:rPr>
            </w:pPr>
            <w:r>
              <w:rPr>
                <w:bCs/>
                <w:lang w:eastAsia="zh-CN"/>
              </w:rPr>
              <w:t>Only</w:t>
            </w:r>
            <w:r>
              <w:rPr>
                <w:bCs/>
              </w:rPr>
              <w:t xml:space="preserve"> applicable </w:t>
            </w:r>
            <w:r>
              <w:t>for 20 PRB transmission bandwidth configuration within 5 MHz channel with unpunctured PBCH defined in TS 38.211 [8] clause 7.4.3.1.</w:t>
            </w:r>
          </w:p>
        </w:tc>
      </w:tr>
    </w:tbl>
    <w:p>
      <w:pPr>
        <w:rPr>
          <w:lang w:eastAsia="zh-CN"/>
        </w:rPr>
      </w:pPr>
    </w:p>
    <w:p>
      <w:pPr>
        <w:pStyle w:val="5"/>
      </w:pPr>
      <w:bookmarkStart w:id="109" w:name="_Toc44323702"/>
      <w:bookmarkStart w:id="110" w:name="_Toc76020028"/>
      <w:bookmarkStart w:id="111" w:name="_Toc60823042"/>
      <w:bookmarkStart w:id="112" w:name="_Toc90917305"/>
      <w:bookmarkStart w:id="113" w:name="_Toc36226447"/>
      <w:bookmarkStart w:id="114" w:name="_Toc27477768"/>
      <w:bookmarkStart w:id="115" w:name="_Toc90916352"/>
      <w:bookmarkStart w:id="116" w:name="_Toc52989853"/>
      <w:bookmarkStart w:id="117" w:name="_Toc69309717"/>
      <w:bookmarkStart w:id="118" w:name="_Toc60824965"/>
      <w:bookmarkStart w:id="119" w:name="_Toc90916549"/>
      <w:bookmarkStart w:id="120" w:name="_Toc69305862"/>
      <w:bookmarkStart w:id="121" w:name="_Toc83720498"/>
      <w:r>
        <w:t>5.4.3.2</w:t>
      </w:r>
      <w:r>
        <w:tab/>
      </w:r>
      <w:r>
        <w:t>Synchronization raster to synchronization block resource element mapping</w:t>
      </w:r>
      <w:bookmarkEnd w:id="109"/>
      <w:bookmarkEnd w:id="110"/>
      <w:bookmarkEnd w:id="111"/>
      <w:bookmarkEnd w:id="112"/>
      <w:bookmarkEnd w:id="113"/>
      <w:bookmarkEnd w:id="114"/>
      <w:bookmarkEnd w:id="115"/>
      <w:bookmarkEnd w:id="116"/>
      <w:bookmarkEnd w:id="117"/>
      <w:bookmarkEnd w:id="118"/>
      <w:bookmarkEnd w:id="119"/>
      <w:bookmarkEnd w:id="120"/>
      <w:bookmarkEnd w:id="121"/>
    </w:p>
    <w:p>
      <w:r>
        <w:t>The mapping between the synchronization raster and the corresponding resource element of the SS block is given in Table 5.4.3.2-1.</w:t>
      </w:r>
    </w:p>
    <w:p>
      <w:pPr>
        <w:pStyle w:val="55"/>
        <w:rPr>
          <w:lang w:eastAsia="zh-CN"/>
        </w:rPr>
      </w:pPr>
      <w:r>
        <w:t>Table 5.4.3.2-1: Synchronization raster to SS block resource element mapping</w:t>
      </w:r>
    </w:p>
    <w:tbl>
      <w:tblPr>
        <w:tblStyle w:val="42"/>
        <w:tblW w:w="7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5"/>
        <w:gridCol w:w="24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95" w:type="dxa"/>
          </w:tcPr>
          <w:p>
            <w:pPr>
              <w:pStyle w:val="52"/>
            </w:pPr>
            <w:r>
              <w:t xml:space="preserve">Resource element index </w:t>
            </w:r>
            <w:r>
              <w:rPr>
                <w:position w:val="-6"/>
              </w:rPr>
              <w:object>
                <v:shape id="_x0000_i1030" o:spt="75" type="#_x0000_t75" style="height:14.5pt;width:8.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8">
                  <o:LockedField>false</o:LockedField>
                </o:OLEObject>
              </w:object>
            </w:r>
          </w:p>
        </w:tc>
        <w:tc>
          <w:tcPr>
            <w:tcW w:w="2406" w:type="dxa"/>
          </w:tcPr>
          <w:p>
            <w:pPr>
              <w:pStyle w:val="52"/>
            </w:pPr>
            <w:r>
              <w:t>120</w:t>
            </w:r>
          </w:p>
        </w:tc>
      </w:tr>
    </w:tbl>
    <w:p/>
    <w:p>
      <w:r>
        <w:rPr>
          <w:position w:val="-6"/>
        </w:rPr>
        <w:object>
          <v:shape id="_x0000_i1031" o:spt="75" type="#_x0000_t75" style="height:14.5pt;width:8.5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9">
            <o:LockedField>false</o:LockedField>
          </o:OLEObject>
        </w:object>
      </w:r>
      <w:r>
        <w:t>is the subcarrier number of SS/PBCH block defined in TS 38.211 clause 7.4.3.1[8].</w:t>
      </w:r>
    </w:p>
    <w:p>
      <w:pPr>
        <w:pStyle w:val="5"/>
      </w:pPr>
      <w:bookmarkStart w:id="122" w:name="_Toc27477769"/>
      <w:bookmarkStart w:id="123" w:name="_Toc36226448"/>
      <w:bookmarkStart w:id="124" w:name="_Toc44323703"/>
      <w:bookmarkStart w:id="125" w:name="_Toc52989854"/>
      <w:bookmarkStart w:id="126" w:name="_Toc60824966"/>
      <w:bookmarkStart w:id="127" w:name="_Toc69305863"/>
      <w:bookmarkStart w:id="128" w:name="_Toc76020029"/>
      <w:bookmarkStart w:id="129" w:name="_Toc83720499"/>
      <w:bookmarkStart w:id="130" w:name="_Toc60823043"/>
      <w:bookmarkStart w:id="131" w:name="_Toc90916353"/>
      <w:bookmarkStart w:id="132" w:name="_Toc69309718"/>
      <w:bookmarkStart w:id="133" w:name="_Toc90917306"/>
      <w:bookmarkStart w:id="134" w:name="_Toc90916550"/>
      <w:r>
        <w:t>5.4.3.3</w:t>
      </w:r>
      <w:r>
        <w:tab/>
      </w:r>
      <w:r>
        <w:t>Synchronization raster entries for each operating band</w:t>
      </w:r>
      <w:bookmarkEnd w:id="122"/>
      <w:bookmarkEnd w:id="123"/>
      <w:bookmarkEnd w:id="124"/>
      <w:bookmarkEnd w:id="125"/>
      <w:bookmarkEnd w:id="126"/>
      <w:bookmarkEnd w:id="127"/>
      <w:bookmarkEnd w:id="128"/>
      <w:bookmarkEnd w:id="129"/>
      <w:bookmarkEnd w:id="130"/>
      <w:bookmarkEnd w:id="131"/>
      <w:bookmarkEnd w:id="132"/>
      <w:bookmarkEnd w:id="133"/>
      <w:bookmarkEnd w:id="134"/>
      <w:r>
        <w:t xml:space="preserve"> </w:t>
      </w:r>
    </w:p>
    <w:p>
      <w:r>
        <w:t xml:space="preserve">The synchronization raster </w:t>
      </w:r>
      <w:r>
        <w:rPr>
          <w:rFonts w:eastAsia="Yu Mincho"/>
        </w:rPr>
        <w:t xml:space="preserve">for above 3 MHz channel bandwidth </w:t>
      </w:r>
      <w:r>
        <w:t>for each band is given in Table 5.4.3.3-1. The distance between applicable GSCN entries is given by the &lt;Step size&gt; indicated in Table 5.4.3.3-1.</w:t>
      </w:r>
    </w:p>
    <w:p>
      <w:pPr>
        <w:pStyle w:val="55"/>
      </w:pPr>
      <w:r>
        <w:t>Table 5.4.3.3-1: Applicable SS raster entries per operating band for above 3 MHz channel bandwidth</w:t>
      </w:r>
    </w:p>
    <w:tbl>
      <w:tblPr>
        <w:tblStyle w:val="42"/>
        <w:tblW w:w="8757" w:type="dxa"/>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1760"/>
        <w:gridCol w:w="1929"/>
        <w:gridCol w:w="3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vAlign w:val="center"/>
          </w:tcPr>
          <w:p>
            <w:pPr>
              <w:pStyle w:val="51"/>
            </w:pPr>
            <w:r>
              <w:t>NR operating band</w:t>
            </w:r>
          </w:p>
        </w:tc>
        <w:tc>
          <w:tcPr>
            <w:tcW w:w="1760" w:type="dxa"/>
            <w:tcBorders>
              <w:top w:val="single" w:color="auto" w:sz="4" w:space="0"/>
              <w:left w:val="single" w:color="auto" w:sz="4" w:space="0"/>
              <w:bottom w:val="single" w:color="auto" w:sz="4" w:space="0"/>
              <w:right w:val="single" w:color="auto" w:sz="4" w:space="0"/>
            </w:tcBorders>
            <w:vAlign w:val="center"/>
          </w:tcPr>
          <w:p>
            <w:pPr>
              <w:pStyle w:val="51"/>
            </w:pPr>
            <w:r>
              <w:t>SS Block SCS</w:t>
            </w:r>
          </w:p>
        </w:tc>
        <w:tc>
          <w:tcPr>
            <w:tcW w:w="1929" w:type="dxa"/>
            <w:tcBorders>
              <w:top w:val="single" w:color="auto" w:sz="4" w:space="0"/>
              <w:left w:val="single" w:color="auto" w:sz="4" w:space="0"/>
              <w:bottom w:val="single" w:color="auto" w:sz="4" w:space="0"/>
              <w:right w:val="single" w:color="auto" w:sz="4" w:space="0"/>
            </w:tcBorders>
            <w:vAlign w:val="center"/>
          </w:tcPr>
          <w:p>
            <w:pPr>
              <w:pStyle w:val="51"/>
            </w:pPr>
            <w:r>
              <w:t>SS Block pattern</w:t>
            </w:r>
            <w:r>
              <w:rPr>
                <w:rFonts w:eastAsia="Yu Mincho"/>
                <w:vertAlign w:val="superscript"/>
              </w:rPr>
              <w:t>1</w:t>
            </w:r>
          </w:p>
        </w:tc>
        <w:tc>
          <w:tcPr>
            <w:tcW w:w="3116" w:type="dxa"/>
            <w:tcBorders>
              <w:top w:val="single" w:color="auto" w:sz="4" w:space="0"/>
              <w:left w:val="single" w:color="auto" w:sz="4" w:space="0"/>
              <w:bottom w:val="single" w:color="auto" w:sz="4" w:space="0"/>
              <w:right w:val="single" w:color="auto" w:sz="4" w:space="0"/>
            </w:tcBorders>
            <w:vAlign w:val="center"/>
          </w:tcPr>
          <w:p>
            <w:pPr>
              <w:pStyle w:val="51"/>
            </w:pPr>
            <w:r>
              <w:t>Range of GSCN</w:t>
            </w:r>
          </w:p>
          <w:p>
            <w:pPr>
              <w:pStyle w:val="51"/>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lang w:eastAsia="zh-CN"/>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n12</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n13</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1871 – &lt;1&gt; – 1885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n14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52" w:type="dxa"/>
            <w:vMerge w:val="restart"/>
            <w:tcBorders>
              <w:top w:val="single" w:color="auto" w:sz="4" w:space="0"/>
              <w:left w:val="single" w:color="auto" w:sz="4" w:space="0"/>
              <w:right w:val="single" w:color="auto" w:sz="4" w:space="0"/>
            </w:tcBorders>
          </w:tcPr>
          <w:p>
            <w:pPr>
              <w:pStyle w:val="52"/>
            </w:pPr>
            <w:r>
              <w:t>n24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3818 – &lt;1&gt; –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3824 – &lt;1&gt; –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n26</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n28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n29</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n30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5879 – &lt;1&gt; –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n31</w:t>
            </w:r>
          </w:p>
        </w:tc>
        <w:tc>
          <w:tcPr>
            <w:tcW w:w="1760"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15kHz</w:t>
            </w:r>
          </w:p>
        </w:tc>
        <w:tc>
          <w:tcPr>
            <w:tcW w:w="1929" w:type="dxa"/>
            <w:tcBorders>
              <w:top w:val="single" w:color="auto" w:sz="4" w:space="0"/>
              <w:left w:val="single" w:color="auto" w:sz="4" w:space="0"/>
              <w:bottom w:val="single" w:color="auto" w:sz="4" w:space="0"/>
              <w:right w:val="single" w:color="auto" w:sz="4" w:space="0"/>
            </w:tcBorders>
          </w:tcPr>
          <w:p>
            <w:pPr>
              <w:pStyle w:val="52"/>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rFonts w:eastAsia="Yu Mincho"/>
              </w:rPr>
              <w:t>1161 –</w:t>
            </w:r>
            <w:r>
              <w:t xml:space="preserve"> &lt;1&gt; </w:t>
            </w:r>
            <w:r>
              <w:rPr>
                <w:rFonts w:eastAsia="Yu Mincho"/>
              </w:rPr>
              <w:t>– 1162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 NOTE5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5036– &lt;1&gt; – 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vAlign w:val="center"/>
          </w:tcPr>
          <w:p>
            <w:pPr>
              <w:pStyle w:val="52"/>
              <w:rPr>
                <w:rFonts w:eastAsia="Yu Mincho"/>
              </w:rPr>
            </w:pPr>
            <w:r>
              <w:t>n38</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vAlign w:val="center"/>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n39</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4712 – &lt;1&gt; – 4789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n40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w:t>
            </w:r>
            <w:r>
              <w:rPr>
                <w:lang w:eastAsia="zh-CN"/>
              </w:rPr>
              <w:t>C</w:t>
            </w:r>
          </w:p>
        </w:tc>
        <w:tc>
          <w:tcPr>
            <w:tcW w:w="3116" w:type="dxa"/>
            <w:tcBorders>
              <w:top w:val="single" w:color="auto" w:sz="4" w:space="0"/>
              <w:left w:val="single" w:color="auto" w:sz="4" w:space="0"/>
              <w:bottom w:val="single" w:color="auto" w:sz="4" w:space="0"/>
              <w:right w:val="single" w:color="auto" w:sz="4" w:space="0"/>
            </w:tcBorders>
          </w:tcPr>
          <w:p>
            <w:pPr>
              <w:pStyle w:val="52"/>
            </w:pPr>
            <w: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rPr>
                <w:rFonts w:eastAsia="Yu Mincho"/>
              </w:rPr>
            </w:pPr>
            <w:r>
              <w:t>n41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t>n46</w:t>
            </w:r>
            <w:r>
              <w:rPr>
                <w:rFonts w:eastAsia="Yu Mincho"/>
                <w:b/>
                <w:vertAlign w:val="superscript"/>
              </w:rPr>
              <w:t>3</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8993 – &lt;1&gt; – 9530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rPr>
                <w:lang w:eastAsia="zh-CN"/>
              </w:rPr>
              <w:t>n50</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lang w:eastAsia="zh-CN"/>
              </w:rPr>
            </w:pPr>
            <w:r>
              <w:t>n48</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n51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nil"/>
              <w:right w:val="single" w:color="auto" w:sz="4" w:space="0"/>
            </w:tcBorders>
          </w:tcPr>
          <w:p>
            <w:pPr>
              <w:pStyle w:val="52"/>
            </w:pPr>
            <w:r>
              <w:t>n53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6221</w:t>
            </w:r>
            <w:r>
              <w:rPr>
                <w:lang w:eastAsia="fr-FR"/>
              </w:rPr>
              <w:t xml:space="preserve"> – &lt;1&gt; – </w:t>
            </w:r>
            <w:r>
              <w:rPr>
                <w:lang w:eastAsia="zh-CN"/>
              </w:rPr>
              <w:t>6226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nil"/>
              <w:left w:val="single" w:color="auto" w:sz="4" w:space="0"/>
              <w:bottom w:val="single" w:color="auto" w:sz="4" w:space="0"/>
              <w:right w:val="single" w:color="auto" w:sz="4" w:space="0"/>
            </w:tcBorders>
          </w:tcPr>
          <w:p>
            <w:pPr>
              <w:pStyle w:val="52"/>
            </w:pPr>
            <w:r>
              <w:rPr>
                <w:rFonts w:eastAsia="宋体"/>
                <w:lang w:eastAsia="zh-CN"/>
              </w:rPr>
              <w:t>n54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fr-FR"/>
              </w:rPr>
              <w:t>4181 – &lt;1&gt; – 4182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n65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n66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B</w:t>
            </w:r>
          </w:p>
        </w:tc>
        <w:tc>
          <w:tcPr>
            <w:tcW w:w="3116" w:type="dxa"/>
            <w:tcBorders>
              <w:top w:val="single" w:color="auto" w:sz="4" w:space="0"/>
              <w:left w:val="single" w:color="auto" w:sz="4" w:space="0"/>
              <w:bottom w:val="single" w:color="auto" w:sz="4" w:space="0"/>
              <w:right w:val="single" w:color="auto" w:sz="4" w:space="0"/>
            </w:tcBorders>
          </w:tcPr>
          <w:p>
            <w:pPr>
              <w:pStyle w:val="52"/>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n70</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n71</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n72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rPr>
                <w:rFonts w:eastAsia="Yu Mincho"/>
              </w:rPr>
              <w:t>1157 –</w:t>
            </w:r>
            <w:r>
              <w:t xml:space="preserve"> &lt;1&gt; </w:t>
            </w:r>
            <w:r>
              <w:rPr>
                <w:rFonts w:eastAsia="Yu Mincho"/>
              </w:rPr>
              <w:t>– 1159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n74</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n75</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n76</w:t>
            </w:r>
          </w:p>
        </w:tc>
        <w:tc>
          <w:tcPr>
            <w:tcW w:w="1760" w:type="dxa"/>
            <w:tcBorders>
              <w:top w:val="single" w:color="auto" w:sz="4" w:space="0"/>
              <w:left w:val="single" w:color="auto" w:sz="4" w:space="0"/>
              <w:bottom w:val="single" w:color="auto" w:sz="4" w:space="0"/>
              <w:right w:val="single" w:color="auto" w:sz="4" w:space="0"/>
            </w:tcBorders>
          </w:tcPr>
          <w:p>
            <w:pPr>
              <w:pStyle w:val="52"/>
            </w:pPr>
            <w:r>
              <w:t>15kHz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n77</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n78</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rPr>
                <w:rFonts w:eastAsia="Yu Mincho"/>
              </w:rPr>
            </w:pPr>
            <w:r>
              <w:t>n79</w:t>
            </w:r>
          </w:p>
        </w:tc>
        <w:tc>
          <w:tcPr>
            <w:tcW w:w="1760" w:type="dxa"/>
            <w:tcBorders>
              <w:top w:val="single" w:color="auto" w:sz="4" w:space="0"/>
              <w:left w:val="single" w:color="auto" w:sz="4" w:space="0"/>
              <w:bottom w:val="single" w:color="auto" w:sz="4" w:space="0"/>
              <w:right w:val="single" w:color="auto" w:sz="4" w:space="0"/>
            </w:tcBorders>
          </w:tcPr>
          <w:p>
            <w:pPr>
              <w:pStyle w:val="52"/>
            </w:pPr>
            <w:r>
              <w:t>30kHz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rPr>
                <w:vertAlign w:val="superscript"/>
              </w:rPr>
            </w:pPr>
            <w:r>
              <w:t>8480 – &lt;16&gt; – 8880</w:t>
            </w:r>
            <w:r>
              <w:rPr>
                <w:vertAlign w:val="superscript"/>
              </w:rPr>
              <w:t>7</w:t>
            </w:r>
          </w:p>
          <w:p>
            <w:pPr>
              <w:pStyle w:val="52"/>
              <w:rPr>
                <w:rFonts w:eastAsia="Yu Mincho"/>
              </w:rPr>
            </w:pPr>
            <w:r>
              <w:rPr>
                <w:rFonts w:eastAsia="Malgun Gothic"/>
              </w:rPr>
              <w:t>8475 – &lt;1&gt; – 8884</w:t>
            </w:r>
            <w:r>
              <w:rPr>
                <w:rFonts w:eastAsia="Yu Mincho"/>
                <w:b/>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n85</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1826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1" w:author="China Unicom" w:date="2025-11-07T17:05:55Z"/>
        </w:trPr>
        <w:tc>
          <w:tcPr>
            <w:tcW w:w="1952" w:type="dxa"/>
            <w:tcBorders>
              <w:top w:val="single" w:color="auto" w:sz="4" w:space="0"/>
              <w:left w:val="single" w:color="auto" w:sz="4" w:space="0"/>
              <w:bottom w:val="single" w:color="auto" w:sz="4" w:space="0"/>
              <w:right w:val="single" w:color="auto" w:sz="4" w:space="0"/>
            </w:tcBorders>
            <w:vAlign w:val="center"/>
          </w:tcPr>
          <w:p>
            <w:pPr>
              <w:pStyle w:val="52"/>
              <w:rPr>
                <w:ins w:id="182" w:author="China Unicom" w:date="2025-11-07T17:05:55Z"/>
                <w:rFonts w:eastAsia="宋体"/>
                <w:lang w:eastAsia="zh-CN"/>
              </w:rPr>
            </w:pPr>
            <w:ins w:id="183" w:author="China Unicom" w:date="2025-11-07T17:05:55Z">
              <w:r>
                <w:rPr>
                  <w:rFonts w:hint="eastAsia" w:eastAsia="等线"/>
                  <w:lang w:val="zh-CN"/>
                </w:rPr>
                <w:t>n87</w:t>
              </w:r>
            </w:ins>
          </w:p>
        </w:tc>
        <w:tc>
          <w:tcPr>
            <w:tcW w:w="1760" w:type="dxa"/>
            <w:tcBorders>
              <w:top w:val="single" w:color="auto" w:sz="4" w:space="0"/>
              <w:left w:val="single" w:color="auto" w:sz="4" w:space="0"/>
              <w:bottom w:val="single" w:color="auto" w:sz="4" w:space="0"/>
              <w:right w:val="single" w:color="auto" w:sz="4" w:space="0"/>
            </w:tcBorders>
          </w:tcPr>
          <w:p>
            <w:pPr>
              <w:pStyle w:val="52"/>
              <w:rPr>
                <w:ins w:id="184" w:author="China Unicom" w:date="2025-11-07T17:05:55Z"/>
              </w:rPr>
            </w:pPr>
            <w:ins w:id="185" w:author="China Unicom" w:date="2025-11-07T17:05:55Z">
              <w:r>
                <w:rPr>
                  <w:rFonts w:eastAsia="等线"/>
                  <w:lang w:val="zh-CN"/>
                </w:rPr>
                <w:t>15 kHz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186" w:author="China Unicom" w:date="2025-11-07T17:05:55Z"/>
                <w:lang w:eastAsia="zh-CN"/>
              </w:rPr>
            </w:pPr>
            <w:ins w:id="187" w:author="China Unicom" w:date="2025-11-07T17:05:55Z">
              <w:r>
                <w:rPr>
                  <w:rFonts w:eastAsia="等线"/>
                  <w:lang w:val="zh-CN"/>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188" w:author="China Unicom" w:date="2025-11-07T17:05:55Z"/>
              </w:rPr>
            </w:pPr>
            <w:ins w:id="189" w:author="China Unicom" w:date="2025-11-07T17:05:55Z">
              <w:r>
                <w:rPr>
                  <w:rFonts w:eastAsia="等线"/>
                  <w:lang w:val="zh-CN"/>
                </w:rPr>
                <w:t>1055</w:t>
              </w:r>
            </w:ins>
            <w:ins w:id="190" w:author="China Unicom" w:date="2025-11-07T17:05:55Z">
              <w:r>
                <w:rPr>
                  <w:rFonts w:hint="eastAsia" w:eastAsia="等线"/>
                  <w:lang w:val="zh-CN"/>
                </w:rPr>
                <w:t xml:space="preserve"> </w:t>
              </w:r>
            </w:ins>
            <w:ins w:id="191" w:author="China Unicom" w:date="2025-11-07T17:05:55Z">
              <w:r>
                <w:rPr>
                  <w:rFonts w:eastAsia="等线"/>
                  <w:lang w:val="zh-CN"/>
                </w:rPr>
                <w:t>–</w:t>
              </w:r>
            </w:ins>
            <w:ins w:id="192" w:author="China Unicom" w:date="2025-11-07T17:05:55Z">
              <w:r>
                <w:rPr>
                  <w:rFonts w:hint="eastAsia" w:eastAsia="等线"/>
                  <w:lang w:val="zh-CN"/>
                </w:rPr>
                <w:t xml:space="preserve"> </w:t>
              </w:r>
            </w:ins>
            <w:ins w:id="193" w:author="China Unicom" w:date="2025-11-07T17:05:55Z">
              <w:r>
                <w:rPr>
                  <w:rFonts w:eastAsia="等线"/>
                  <w:lang w:val="zh-CN"/>
                </w:rPr>
                <w:t>&lt;1&gt;</w:t>
              </w:r>
            </w:ins>
            <w:ins w:id="194" w:author="China Unicom" w:date="2025-11-07T17:05:55Z">
              <w:r>
                <w:rPr>
                  <w:rFonts w:hint="eastAsia" w:eastAsia="等线"/>
                  <w:lang w:val="zh-CN"/>
                </w:rPr>
                <w:t xml:space="preserve"> </w:t>
              </w:r>
            </w:ins>
            <w:ins w:id="195" w:author="China Unicom" w:date="2025-11-07T17:05:55Z">
              <w:r>
                <w:rPr>
                  <w:rFonts w:eastAsia="等线"/>
                  <w:lang w:val="zh-CN"/>
                </w:rPr>
                <w:t>–</w:t>
              </w:r>
            </w:ins>
            <w:ins w:id="196" w:author="China Unicom" w:date="2025-11-07T17:05:55Z">
              <w:r>
                <w:rPr>
                  <w:rFonts w:hint="eastAsia" w:eastAsia="等线"/>
                  <w:lang w:val="zh-CN"/>
                </w:rPr>
                <w:t xml:space="preserve"> </w:t>
              </w:r>
            </w:ins>
            <w:ins w:id="197" w:author="China Unicom" w:date="2025-11-07T17:05:55Z">
              <w:r>
                <w:rPr>
                  <w:rFonts w:eastAsia="等线"/>
                  <w:lang w:val="zh-CN"/>
                </w:rPr>
                <w:t>1057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 w:author="China Unicom" w:date="2025-11-07T17:05:55Z"/>
        </w:trPr>
        <w:tc>
          <w:tcPr>
            <w:tcW w:w="1952" w:type="dxa"/>
            <w:tcBorders>
              <w:top w:val="single" w:color="auto" w:sz="4" w:space="0"/>
              <w:left w:val="single" w:color="auto" w:sz="4" w:space="0"/>
              <w:bottom w:val="single" w:color="auto" w:sz="4" w:space="0"/>
              <w:right w:val="single" w:color="auto" w:sz="4" w:space="0"/>
            </w:tcBorders>
            <w:vAlign w:val="center"/>
          </w:tcPr>
          <w:p>
            <w:pPr>
              <w:pStyle w:val="52"/>
              <w:rPr>
                <w:ins w:id="199" w:author="China Unicom" w:date="2025-11-07T17:05:55Z"/>
                <w:rFonts w:eastAsia="宋体"/>
                <w:lang w:eastAsia="zh-CN"/>
              </w:rPr>
            </w:pPr>
            <w:ins w:id="200" w:author="China Unicom" w:date="2025-11-07T17:05:55Z">
              <w:r>
                <w:rPr>
                  <w:rFonts w:hint="eastAsia" w:eastAsia="等线"/>
                  <w:lang w:val="zh-CN"/>
                </w:rPr>
                <w:t>n88</w:t>
              </w:r>
            </w:ins>
          </w:p>
        </w:tc>
        <w:tc>
          <w:tcPr>
            <w:tcW w:w="1760" w:type="dxa"/>
            <w:tcBorders>
              <w:top w:val="single" w:color="auto" w:sz="4" w:space="0"/>
              <w:left w:val="single" w:color="auto" w:sz="4" w:space="0"/>
              <w:bottom w:val="single" w:color="auto" w:sz="4" w:space="0"/>
              <w:right w:val="single" w:color="auto" w:sz="4" w:space="0"/>
            </w:tcBorders>
          </w:tcPr>
          <w:p>
            <w:pPr>
              <w:pStyle w:val="52"/>
              <w:rPr>
                <w:ins w:id="201" w:author="China Unicom" w:date="2025-11-07T17:05:55Z"/>
              </w:rPr>
            </w:pPr>
            <w:ins w:id="202" w:author="China Unicom" w:date="2025-11-07T17:05:55Z">
              <w:r>
                <w:rPr>
                  <w:rFonts w:eastAsia="等线"/>
                  <w:lang w:val="zh-CN"/>
                </w:rPr>
                <w:t>15 kHz</w:t>
              </w:r>
            </w:ins>
          </w:p>
        </w:tc>
        <w:tc>
          <w:tcPr>
            <w:tcW w:w="1929" w:type="dxa"/>
            <w:tcBorders>
              <w:top w:val="single" w:color="auto" w:sz="4" w:space="0"/>
              <w:left w:val="single" w:color="auto" w:sz="4" w:space="0"/>
              <w:bottom w:val="single" w:color="auto" w:sz="4" w:space="0"/>
              <w:right w:val="single" w:color="auto" w:sz="4" w:space="0"/>
            </w:tcBorders>
          </w:tcPr>
          <w:p>
            <w:pPr>
              <w:pStyle w:val="52"/>
              <w:rPr>
                <w:ins w:id="203" w:author="China Unicom" w:date="2025-11-07T17:05:55Z"/>
                <w:lang w:eastAsia="zh-CN"/>
              </w:rPr>
            </w:pPr>
            <w:ins w:id="204" w:author="China Unicom" w:date="2025-11-07T17:05:55Z">
              <w:r>
                <w:rPr>
                  <w:rFonts w:eastAsia="等线"/>
                  <w:lang w:val="zh-CN"/>
                </w:rPr>
                <w:t>Case A</w:t>
              </w:r>
            </w:ins>
          </w:p>
        </w:tc>
        <w:tc>
          <w:tcPr>
            <w:tcW w:w="3116" w:type="dxa"/>
            <w:tcBorders>
              <w:top w:val="single" w:color="auto" w:sz="4" w:space="0"/>
              <w:left w:val="single" w:color="auto" w:sz="4" w:space="0"/>
              <w:bottom w:val="single" w:color="auto" w:sz="4" w:space="0"/>
              <w:right w:val="single" w:color="auto" w:sz="4" w:space="0"/>
            </w:tcBorders>
          </w:tcPr>
          <w:p>
            <w:pPr>
              <w:pStyle w:val="52"/>
              <w:rPr>
                <w:ins w:id="205" w:author="China Unicom" w:date="2025-11-07T17:05:55Z"/>
              </w:rPr>
            </w:pPr>
            <w:ins w:id="206" w:author="China Unicom" w:date="2025-11-07T17:05:55Z">
              <w:r>
                <w:rPr>
                  <w:rFonts w:eastAsia="等线"/>
                  <w:lang w:val="zh-CN"/>
                </w:rPr>
                <w:t>1061</w:t>
              </w:r>
            </w:ins>
            <w:ins w:id="207" w:author="China Unicom" w:date="2025-11-07T17:05:55Z">
              <w:r>
                <w:rPr>
                  <w:rFonts w:hint="eastAsia" w:eastAsia="等线"/>
                  <w:lang w:val="zh-CN"/>
                </w:rPr>
                <w:t xml:space="preserve"> </w:t>
              </w:r>
            </w:ins>
            <w:ins w:id="208" w:author="China Unicom" w:date="2025-11-07T17:05:55Z">
              <w:r>
                <w:rPr>
                  <w:rFonts w:eastAsia="等线"/>
                  <w:lang w:val="zh-CN"/>
                </w:rPr>
                <w:t>–</w:t>
              </w:r>
            </w:ins>
            <w:ins w:id="209" w:author="China Unicom" w:date="2025-11-07T17:05:55Z">
              <w:r>
                <w:rPr>
                  <w:rFonts w:hint="eastAsia" w:eastAsia="等线"/>
                  <w:lang w:val="zh-CN"/>
                </w:rPr>
                <w:t xml:space="preserve"> </w:t>
              </w:r>
            </w:ins>
            <w:ins w:id="210" w:author="China Unicom" w:date="2025-11-07T17:05:55Z">
              <w:r>
                <w:rPr>
                  <w:rFonts w:eastAsia="等线"/>
                  <w:lang w:val="zh-CN"/>
                </w:rPr>
                <w:t>&lt;1&gt;</w:t>
              </w:r>
            </w:ins>
            <w:ins w:id="211" w:author="China Unicom" w:date="2025-11-07T17:05:55Z">
              <w:r>
                <w:rPr>
                  <w:rFonts w:hint="eastAsia" w:eastAsia="等线"/>
                  <w:lang w:val="zh-CN"/>
                </w:rPr>
                <w:t xml:space="preserve"> </w:t>
              </w:r>
            </w:ins>
            <w:ins w:id="212" w:author="China Unicom" w:date="2025-11-07T17:05:55Z">
              <w:r>
                <w:rPr>
                  <w:rFonts w:eastAsia="等线"/>
                  <w:lang w:val="zh-CN"/>
                </w:rPr>
                <w:t>–</w:t>
              </w:r>
            </w:ins>
            <w:ins w:id="213" w:author="China Unicom" w:date="2025-11-07T17:05:55Z">
              <w:r>
                <w:rPr>
                  <w:rFonts w:hint="eastAsia" w:eastAsia="等线"/>
                  <w:lang w:val="zh-CN"/>
                </w:rPr>
                <w:t xml:space="preserve"> </w:t>
              </w:r>
            </w:ins>
            <w:ins w:id="214" w:author="China Unicom" w:date="2025-11-07T17:05:55Z">
              <w:r>
                <w:rPr>
                  <w:rFonts w:eastAsia="等线"/>
                  <w:lang w:val="zh-CN"/>
                </w:rPr>
                <w:t>1062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n92</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n93</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vAlign w:val="center"/>
          </w:tcPr>
          <w:p>
            <w:pPr>
              <w:pStyle w:val="52"/>
            </w:pPr>
            <w:r>
              <w:rPr>
                <w:lang w:eastAsia="zh-CN"/>
              </w:rPr>
              <w:t>n94</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t>n96</w:t>
            </w:r>
            <w:r>
              <w:rPr>
                <w:rFonts w:eastAsia="Yu Mincho"/>
                <w:b/>
                <w:vertAlign w:val="superscript"/>
              </w:rPr>
              <w:t>4</w:t>
            </w:r>
          </w:p>
        </w:tc>
        <w:tc>
          <w:tcPr>
            <w:tcW w:w="1760" w:type="dxa"/>
            <w:tcBorders>
              <w:top w:val="single" w:color="auto" w:sz="4" w:space="0"/>
              <w:left w:val="single" w:color="auto" w:sz="4" w:space="0"/>
              <w:bottom w:val="single" w:color="auto" w:sz="4" w:space="0"/>
              <w:right w:val="single" w:color="auto" w:sz="4" w:space="0"/>
            </w:tcBorders>
          </w:tcPr>
          <w:p>
            <w:pPr>
              <w:pStyle w:val="52"/>
            </w:pPr>
            <w: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9531 – &lt;1&gt; – 10363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n100</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 xml:space="preserve">2303 – &lt;1&gt; – 2307, </w:t>
            </w:r>
          </w:p>
          <w:p>
            <w:pPr>
              <w:pStyle w:val="52"/>
            </w:pPr>
            <w:r>
              <w:t>41638</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restart"/>
            <w:tcBorders>
              <w:top w:val="single" w:color="auto" w:sz="4" w:space="0"/>
              <w:left w:val="single" w:color="auto" w:sz="4" w:space="0"/>
              <w:right w:val="single" w:color="auto" w:sz="4" w:space="0"/>
            </w:tcBorders>
          </w:tcPr>
          <w:p>
            <w:pPr>
              <w:pStyle w:val="52"/>
            </w:pPr>
            <w:r>
              <w:t>n101</w:t>
            </w:r>
          </w:p>
        </w:tc>
        <w:tc>
          <w:tcPr>
            <w:tcW w:w="1760" w:type="dxa"/>
            <w:tcBorders>
              <w:top w:val="single" w:color="auto" w:sz="4" w:space="0"/>
              <w:left w:val="single" w:color="auto" w:sz="4" w:space="0"/>
              <w:bottom w:val="single" w:color="auto" w:sz="4" w:space="0"/>
              <w:right w:val="single" w:color="auto" w:sz="4" w:space="0"/>
            </w:tcBorders>
          </w:tcPr>
          <w:p>
            <w:pPr>
              <w:pStyle w:val="52"/>
            </w:pPr>
            <w:r>
              <w:t>15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4754 – &lt;1&gt; – 4768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vMerge w:val="continue"/>
            <w:tcBorders>
              <w:left w:val="single" w:color="auto" w:sz="4" w:space="0"/>
              <w:bottom w:val="single" w:color="auto" w:sz="4" w:space="0"/>
              <w:right w:val="single" w:color="auto" w:sz="4" w:space="0"/>
            </w:tcBorders>
          </w:tcPr>
          <w:p>
            <w:pPr>
              <w:pStyle w:val="52"/>
            </w:pPr>
          </w:p>
        </w:tc>
        <w:tc>
          <w:tcPr>
            <w:tcW w:w="1760" w:type="dxa"/>
            <w:tcBorders>
              <w:top w:val="single" w:color="auto" w:sz="4" w:space="0"/>
              <w:left w:val="single" w:color="auto" w:sz="4" w:space="0"/>
              <w:bottom w:val="single" w:color="auto" w:sz="4" w:space="0"/>
              <w:right w:val="single" w:color="auto" w:sz="4" w:space="0"/>
            </w:tcBorders>
          </w:tcPr>
          <w:p>
            <w:pPr>
              <w:pStyle w:val="52"/>
            </w:pPr>
            <w:r>
              <w:rPr>
                <w:rFonts w:eastAsia="宋体"/>
                <w:lang w:eastAsia="zh-CN"/>
              </w:rPr>
              <w:t>30</w:t>
            </w:r>
            <w:r>
              <w:t xml:space="preserve"> kHz</w:t>
            </w:r>
          </w:p>
        </w:tc>
        <w:tc>
          <w:tcPr>
            <w:tcW w:w="1929" w:type="dxa"/>
            <w:tcBorders>
              <w:top w:val="single" w:color="auto" w:sz="4" w:space="0"/>
              <w:left w:val="single" w:color="auto" w:sz="4" w:space="0"/>
              <w:bottom w:val="single" w:color="auto" w:sz="4" w:space="0"/>
              <w:right w:val="single" w:color="auto" w:sz="4" w:space="0"/>
            </w:tcBorders>
          </w:tcPr>
          <w:p>
            <w:pPr>
              <w:pStyle w:val="52"/>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4760 – &lt;1&gt; – 4764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n104</w:t>
            </w:r>
          </w:p>
        </w:tc>
        <w:tc>
          <w:tcPr>
            <w:tcW w:w="1760" w:type="dxa"/>
            <w:tcBorders>
              <w:top w:val="single" w:color="auto" w:sz="4" w:space="0"/>
              <w:left w:val="single" w:color="auto" w:sz="4" w:space="0"/>
              <w:bottom w:val="single" w:color="auto" w:sz="4" w:space="0"/>
              <w:right w:val="single" w:color="auto" w:sz="4" w:space="0"/>
            </w:tcBorders>
          </w:tcPr>
          <w:p>
            <w:pPr>
              <w:pStyle w:val="52"/>
              <w:rPr>
                <w:rFonts w:eastAsia="宋体"/>
                <w:lang w:val="en-US" w:eastAsia="zh-CN"/>
              </w:rPr>
            </w:pPr>
            <w:r>
              <w:rPr>
                <w:rFonts w:hint="eastAsia" w:eastAsia="宋体"/>
                <w:lang w:val="en-US" w:eastAsia="zh-CN"/>
              </w:rPr>
              <w:t>30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C</w:t>
            </w:r>
          </w:p>
        </w:tc>
        <w:tc>
          <w:tcPr>
            <w:tcW w:w="3116" w:type="dxa"/>
            <w:tcBorders>
              <w:top w:val="single" w:color="auto" w:sz="4" w:space="0"/>
              <w:left w:val="single" w:color="auto" w:sz="4" w:space="0"/>
              <w:bottom w:val="single" w:color="auto" w:sz="4" w:space="0"/>
              <w:right w:val="single" w:color="auto" w:sz="4" w:space="0"/>
            </w:tcBorders>
          </w:tcPr>
          <w:p>
            <w:pPr>
              <w:pStyle w:val="52"/>
            </w:pPr>
            <w:r>
              <w:t>9882 – &lt;7&gt; – 10358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rPr>
                <w:rFonts w:eastAsia="宋体"/>
                <w:lang w:eastAsia="zh-CN"/>
              </w:rPr>
              <w:t>n105</w:t>
            </w:r>
          </w:p>
        </w:tc>
        <w:tc>
          <w:tcPr>
            <w:tcW w:w="17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1535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2" w:type="dxa"/>
            <w:tcBorders>
              <w:left w:val="single" w:color="auto" w:sz="4" w:space="0"/>
              <w:bottom w:val="single" w:color="auto" w:sz="4" w:space="0"/>
              <w:right w:val="single" w:color="auto" w:sz="4" w:space="0"/>
            </w:tcBorders>
          </w:tcPr>
          <w:p>
            <w:pPr>
              <w:pStyle w:val="52"/>
            </w:pPr>
            <w:r>
              <w:rPr>
                <w:rFonts w:eastAsia="宋体"/>
                <w:lang w:eastAsia="zh-CN"/>
              </w:rPr>
              <w:t>n109</w:t>
            </w:r>
          </w:p>
        </w:tc>
        <w:tc>
          <w:tcPr>
            <w:tcW w:w="17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15 kHz</w:t>
            </w:r>
          </w:p>
        </w:tc>
        <w:tc>
          <w:tcPr>
            <w:tcW w:w="1929"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3116" w:type="dxa"/>
            <w:tcBorders>
              <w:top w:val="single" w:color="auto" w:sz="4" w:space="0"/>
              <w:left w:val="single" w:color="auto" w:sz="4" w:space="0"/>
              <w:bottom w:val="single" w:color="auto" w:sz="4" w:space="0"/>
              <w:right w:val="single" w:color="auto" w:sz="4" w:space="0"/>
            </w:tcBorders>
          </w:tcPr>
          <w:p>
            <w:pPr>
              <w:pStyle w:val="52"/>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5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SS Block pattern is defined in section 4.1 in TS 38.213 [9]</w:t>
            </w:r>
          </w:p>
          <w:p>
            <w:pPr>
              <w:pStyle w:val="66"/>
            </w:pPr>
            <w:r>
              <w:t>NOTE 2:</w:t>
            </w:r>
            <w:r>
              <w:tab/>
            </w:r>
            <w:r>
              <w:t>The applicable SS raster entries are GSCN = {6432, 6443, 6457, 6468, 6479, 6493, 6507, 6518, 6532, 6543}.</w:t>
            </w:r>
          </w:p>
          <w:p>
            <w:pPr>
              <w:pStyle w:val="66"/>
            </w:pPr>
            <w:r>
              <w:t>NOTE 3:</w:t>
            </w:r>
            <w:r>
              <w:tab/>
            </w:r>
            <w:r>
              <w:t>The following GSCN are allowed for operation in band n46:</w:t>
            </w:r>
            <w:r>
              <w:br w:type="textWrapping"/>
            </w:r>
            <w:r>
              <w:t xml:space="preserve">GSCN = </w:t>
            </w:r>
            <w:r>
              <w:rPr>
                <w:rFonts w:eastAsia="宋体"/>
                <w:lang w:eastAsia="zh-CN"/>
              </w:rPr>
              <w:t>{</w:t>
            </w:r>
            <w:r>
              <w:t>8996, 9010, 9024, 9038, 9051, 9065, 9079, 9093, 9107, 9121, 9218, 9232, 9246, 9260, 9274, 9288, 9301, 9315, 9329, 9343, 9357, 9371, 9385, 9402, 9416, 9430, 9444, 9458, 9472, 9485, 9499, 9513</w:t>
            </w:r>
            <w:r>
              <w:rPr>
                <w:rFonts w:eastAsia="宋体"/>
                <w:lang w:eastAsia="zh-CN"/>
              </w:rPr>
              <w:t>}</w:t>
            </w:r>
            <w:r>
              <w:t>.</w:t>
            </w:r>
          </w:p>
          <w:p>
            <w:pPr>
              <w:pStyle w:val="66"/>
            </w:pPr>
            <w:r>
              <w:t>NOTE 4:</w:t>
            </w:r>
            <w:r>
              <w:tab/>
            </w:r>
            <w:r>
              <w:t>The following GSCN are allowed for operation in band n96:</w:t>
            </w:r>
            <w:r>
              <w:br w:type="textWrapping"/>
            </w:r>
            <w:r>
              <w:t xml:space="preserve">GSCN = </w:t>
            </w:r>
            <w:r>
              <w:rPr>
                <w:rFonts w:eastAsia="宋体"/>
                <w:lang w:eastAsia="zh-CN"/>
              </w:rPr>
              <w:t>{</w:t>
            </w:r>
            <w:r>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宋体"/>
                <w:lang w:eastAsia="zh-CN"/>
              </w:rPr>
              <w:t>}</w:t>
            </w:r>
            <w:r>
              <w:t>.</w:t>
            </w:r>
          </w:p>
          <w:p>
            <w:pPr>
              <w:pStyle w:val="66"/>
            </w:pPr>
            <w:r>
              <w:t>NOTE 5:</w:t>
            </w:r>
            <w:r>
              <w:tab/>
            </w:r>
            <w:r>
              <w:t>The applicable SS raster entries are GSCN = {5032, 5043, 5054}</w:t>
            </w:r>
          </w:p>
          <w:p>
            <w:pPr>
              <w:pStyle w:val="66"/>
            </w:pPr>
            <w:r>
              <w:t>NOTE 6:</w:t>
            </w:r>
            <w:r>
              <w:tab/>
            </w:r>
            <w:r>
              <w:t>The applicable SS raster entries are GSCN = {4707, 4715, 4718, 4729, 4732, 4743, 4747, 4754, 4761, 4768, 4772, 4782, 4786, 4793}</w:t>
            </w:r>
          </w:p>
          <w:p>
            <w:pPr>
              <w:pStyle w:val="66"/>
            </w:pPr>
            <w:r>
              <w:t>NOTE 7:</w:t>
            </w:r>
            <w:r>
              <w:tab/>
            </w:r>
            <w:r>
              <w:t>The SS raster entries apply for channel bandwidths larger than or equal to 40 MHz.</w:t>
            </w:r>
          </w:p>
          <w:p>
            <w:pPr>
              <w:pStyle w:val="66"/>
            </w:pPr>
            <w:r>
              <w:t>NOTE 8:</w:t>
            </w:r>
            <w:r>
              <w:tab/>
            </w:r>
            <w:r>
              <w:t>The SS raster entries apply for channel bandwidths smaller than 40 MHz.</w:t>
            </w:r>
          </w:p>
          <w:p>
            <w:pPr>
              <w:pStyle w:val="66"/>
            </w:pPr>
            <w:r>
              <w:t>NOTE 9:</w:t>
            </w:r>
            <w:r>
              <w:tab/>
            </w:r>
            <w:r>
              <w:rPr>
                <w:bCs/>
                <w:lang w:eastAsia="zh-CN"/>
              </w:rPr>
              <w:t>Only</w:t>
            </w:r>
            <w:r>
              <w:rPr>
                <w:bCs/>
              </w:rPr>
              <w:t xml:space="preserve"> applicable </w:t>
            </w:r>
            <w:r>
              <w:t>for 20 PRB transmission bandwidth configuration within 5 MHz channel with unpunctured PBCH defined in TS 38.211 [8] clause 7.4.3.1.</w:t>
            </w:r>
          </w:p>
        </w:tc>
      </w:tr>
    </w:tbl>
    <w:p/>
    <w:p>
      <w:r>
        <w:t>The synchronization raster for channel bandwidth 3 MHz for each band is given in table 5.4.3.3-2. The distance between applicable GSCN entries is given by the &lt;Step size&gt; indicated in table 5.4.3.3-2.</w:t>
      </w:r>
    </w:p>
    <w:p>
      <w:pPr>
        <w:pStyle w:val="55"/>
        <w:rPr>
          <w:lang w:eastAsia="zh-CN"/>
        </w:rPr>
      </w:pPr>
      <w:bookmarkStart w:id="135" w:name="_Hlk143815986"/>
      <w:r>
        <w:rPr>
          <w:lang w:eastAsia="zh-CN"/>
        </w:rPr>
        <w:t>Table 5.4.3.3-</w:t>
      </w:r>
      <w:bookmarkEnd w:id="135"/>
      <w:r>
        <w:rPr>
          <w:lang w:eastAsia="zh-CN"/>
        </w:rPr>
        <w:t>2: Applicable SS raster entries per operating band for 3 MHz channel bandwidth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51"/>
              <w:rPr>
                <w:rFonts w:eastAsia="Yu Mincho"/>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SS Block pattern</w:t>
            </w:r>
            <w:r>
              <w:rPr>
                <w:vertAlign w:val="superscript"/>
              </w:rPr>
              <w:t>1</w:t>
            </w:r>
          </w:p>
        </w:tc>
        <w:tc>
          <w:tcPr>
            <w:tcW w:w="2595" w:type="dxa"/>
            <w:tcBorders>
              <w:top w:val="single" w:color="auto" w:sz="4" w:space="0"/>
              <w:left w:val="single" w:color="auto" w:sz="4" w:space="0"/>
              <w:bottom w:val="single" w:color="auto" w:sz="4" w:space="0"/>
              <w:right w:val="single" w:color="auto" w:sz="4" w:space="0"/>
            </w:tcBorders>
          </w:tcPr>
          <w:p>
            <w:pPr>
              <w:pStyle w:val="51"/>
              <w:rPr>
                <w:rFonts w:eastAsia="Yu Mincho"/>
                <w:vertAlign w:val="subscript"/>
              </w:rPr>
            </w:pPr>
            <w:r>
              <w:rPr>
                <w:rFonts w:eastAsia="Yu Mincho"/>
              </w:rPr>
              <w:t>Range of GSCN</w:t>
            </w:r>
          </w:p>
          <w:p>
            <w:pPr>
              <w:pStyle w:val="51"/>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30937 – &lt;1&gt; – 31100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30432 – &lt;1&gt; – 30644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n31</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28955 – &lt;1&gt; – 28967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n72</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28947 – &lt;1&gt; – 28959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rFonts w:eastAsia="Yu Mincho"/>
              </w:rPr>
            </w:pPr>
            <w:r>
              <w:t>n85</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rPr>
                <w:rFonts w:eastAsia="Yu Mincho"/>
              </w:rPr>
            </w:pPr>
            <w:r>
              <w:t>30282 – &lt;1&gt; – 30359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5" w:author="China Unicom" w:date="2025-11-07T17:06:12Z"/>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ins w:id="216" w:author="China Unicom" w:date="2025-11-07T17:06:12Z"/>
              </w:rPr>
            </w:pPr>
            <w:ins w:id="217" w:author="China Unicom" w:date="2025-11-07T17:06:12Z">
              <w:r>
                <w:rPr>
                  <w:rFonts w:hint="eastAsia" w:eastAsia="等线"/>
                </w:rPr>
                <w:t>n87</w:t>
              </w:r>
            </w:ins>
          </w:p>
        </w:tc>
        <w:tc>
          <w:tcPr>
            <w:tcW w:w="2092" w:type="dxa"/>
            <w:tcBorders>
              <w:top w:val="single" w:color="auto" w:sz="4" w:space="0"/>
              <w:left w:val="single" w:color="auto" w:sz="4" w:space="0"/>
              <w:bottom w:val="single" w:color="auto" w:sz="4" w:space="0"/>
              <w:right w:val="single" w:color="auto" w:sz="4" w:space="0"/>
            </w:tcBorders>
          </w:tcPr>
          <w:p>
            <w:pPr>
              <w:pStyle w:val="52"/>
              <w:rPr>
                <w:ins w:id="218" w:author="China Unicom" w:date="2025-11-07T17:06:12Z"/>
              </w:rPr>
            </w:pPr>
            <w:ins w:id="219" w:author="China Unicom" w:date="2025-11-07T17:06:12Z">
              <w:r>
                <w:rPr>
                  <w:rFonts w:eastAsia="等线"/>
                </w:rPr>
                <w:t>15 kHz</w:t>
              </w:r>
            </w:ins>
          </w:p>
        </w:tc>
        <w:tc>
          <w:tcPr>
            <w:tcW w:w="1886" w:type="dxa"/>
            <w:tcBorders>
              <w:top w:val="single" w:color="auto" w:sz="4" w:space="0"/>
              <w:left w:val="single" w:color="auto" w:sz="4" w:space="0"/>
              <w:bottom w:val="single" w:color="auto" w:sz="4" w:space="0"/>
              <w:right w:val="single" w:color="auto" w:sz="4" w:space="0"/>
            </w:tcBorders>
          </w:tcPr>
          <w:p>
            <w:pPr>
              <w:pStyle w:val="52"/>
              <w:rPr>
                <w:ins w:id="220" w:author="China Unicom" w:date="2025-11-07T17:06:12Z"/>
                <w:lang w:eastAsia="zh-CN"/>
              </w:rPr>
            </w:pPr>
            <w:ins w:id="221" w:author="China Unicom" w:date="2025-11-07T17:06:12Z">
              <w:r>
                <w:rPr>
                  <w:rFonts w:eastAsia="等线"/>
                </w:rPr>
                <w:t>Case A</w:t>
              </w:r>
            </w:ins>
          </w:p>
        </w:tc>
        <w:tc>
          <w:tcPr>
            <w:tcW w:w="2595" w:type="dxa"/>
            <w:tcBorders>
              <w:top w:val="single" w:color="auto" w:sz="4" w:space="0"/>
              <w:left w:val="single" w:color="auto" w:sz="4" w:space="0"/>
              <w:bottom w:val="single" w:color="auto" w:sz="4" w:space="0"/>
              <w:right w:val="single" w:color="auto" w:sz="4" w:space="0"/>
            </w:tcBorders>
          </w:tcPr>
          <w:p>
            <w:pPr>
              <w:pStyle w:val="52"/>
              <w:rPr>
                <w:ins w:id="222" w:author="China Unicom" w:date="2025-11-07T17:06:12Z"/>
              </w:rPr>
            </w:pPr>
            <w:ins w:id="223" w:author="China Unicom" w:date="2025-11-07T17:06:12Z">
              <w:r>
                <w:rPr>
                  <w:rFonts w:eastAsia="等线"/>
                </w:rPr>
                <w:t>28743 – &lt;1&gt; – 28754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 w:author="China Unicom" w:date="2025-11-07T17:06:12Z"/>
        </w:trPr>
        <w:tc>
          <w:tcPr>
            <w:tcW w:w="2156" w:type="dxa"/>
            <w:tcBorders>
              <w:top w:val="single" w:color="auto" w:sz="4" w:space="0"/>
              <w:left w:val="single" w:color="auto" w:sz="4" w:space="0"/>
              <w:bottom w:val="single" w:color="auto" w:sz="4" w:space="0"/>
              <w:right w:val="single" w:color="auto" w:sz="4" w:space="0"/>
            </w:tcBorders>
            <w:vAlign w:val="center"/>
          </w:tcPr>
          <w:p>
            <w:pPr>
              <w:pStyle w:val="52"/>
              <w:rPr>
                <w:ins w:id="225" w:author="China Unicom" w:date="2025-11-07T17:06:12Z"/>
              </w:rPr>
            </w:pPr>
            <w:ins w:id="226" w:author="China Unicom" w:date="2025-11-07T17:06:12Z">
              <w:r>
                <w:rPr>
                  <w:rFonts w:hint="eastAsia" w:eastAsia="等线"/>
                </w:rPr>
                <w:t>n88</w:t>
              </w:r>
            </w:ins>
          </w:p>
        </w:tc>
        <w:tc>
          <w:tcPr>
            <w:tcW w:w="2092" w:type="dxa"/>
            <w:tcBorders>
              <w:top w:val="single" w:color="auto" w:sz="4" w:space="0"/>
              <w:left w:val="single" w:color="auto" w:sz="4" w:space="0"/>
              <w:bottom w:val="single" w:color="auto" w:sz="4" w:space="0"/>
              <w:right w:val="single" w:color="auto" w:sz="4" w:space="0"/>
            </w:tcBorders>
          </w:tcPr>
          <w:p>
            <w:pPr>
              <w:pStyle w:val="52"/>
              <w:rPr>
                <w:ins w:id="227" w:author="China Unicom" w:date="2025-11-07T17:06:12Z"/>
              </w:rPr>
            </w:pPr>
            <w:ins w:id="228" w:author="China Unicom" w:date="2025-11-07T17:06:12Z">
              <w:r>
                <w:rPr>
                  <w:rFonts w:eastAsia="等线"/>
                </w:rPr>
                <w:t>15 kHz</w:t>
              </w:r>
            </w:ins>
          </w:p>
        </w:tc>
        <w:tc>
          <w:tcPr>
            <w:tcW w:w="1886" w:type="dxa"/>
            <w:tcBorders>
              <w:top w:val="single" w:color="auto" w:sz="4" w:space="0"/>
              <w:left w:val="single" w:color="auto" w:sz="4" w:space="0"/>
              <w:bottom w:val="single" w:color="auto" w:sz="4" w:space="0"/>
              <w:right w:val="single" w:color="auto" w:sz="4" w:space="0"/>
            </w:tcBorders>
          </w:tcPr>
          <w:p>
            <w:pPr>
              <w:pStyle w:val="52"/>
              <w:rPr>
                <w:ins w:id="229" w:author="China Unicom" w:date="2025-11-07T17:06:12Z"/>
                <w:lang w:eastAsia="zh-CN"/>
              </w:rPr>
            </w:pPr>
            <w:ins w:id="230" w:author="China Unicom" w:date="2025-11-07T17:06:12Z">
              <w:r>
                <w:rPr>
                  <w:rFonts w:eastAsia="等线"/>
                </w:rPr>
                <w:t>Case A</w:t>
              </w:r>
            </w:ins>
          </w:p>
        </w:tc>
        <w:tc>
          <w:tcPr>
            <w:tcW w:w="2595" w:type="dxa"/>
            <w:tcBorders>
              <w:top w:val="single" w:color="auto" w:sz="4" w:space="0"/>
              <w:left w:val="single" w:color="auto" w:sz="4" w:space="0"/>
              <w:bottom w:val="single" w:color="auto" w:sz="4" w:space="0"/>
              <w:right w:val="single" w:color="auto" w:sz="4" w:space="0"/>
            </w:tcBorders>
          </w:tcPr>
          <w:p>
            <w:pPr>
              <w:pStyle w:val="52"/>
              <w:rPr>
                <w:ins w:id="231" w:author="China Unicom" w:date="2025-11-07T17:06:12Z"/>
              </w:rPr>
            </w:pPr>
            <w:ins w:id="232" w:author="China Unicom" w:date="2025-11-07T17:06:12Z">
              <w:r>
                <w:rPr>
                  <w:rFonts w:eastAsia="等线"/>
                </w:rPr>
                <w:t>28752 – &lt;1&gt; – 28764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n100</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rPr>
            </w:pPr>
            <w:r>
              <w:rPr>
                <w:rFonts w:ascii="Arial" w:hAnsi="Arial" w:cs="Arial"/>
                <w:sz w:val="18"/>
              </w:rPr>
              <w:t>31240 – &lt;1&gt; – 31242,</w:t>
            </w:r>
          </w:p>
          <w:p>
            <w:pPr>
              <w:keepNext/>
              <w:keepLines/>
              <w:spacing w:after="0"/>
              <w:jc w:val="center"/>
              <w:rPr>
                <w:rFonts w:ascii="Arial" w:hAnsi="Arial" w:cs="Arial"/>
                <w:sz w:val="18"/>
              </w:rPr>
            </w:pPr>
            <w:r>
              <w:rPr>
                <w:rFonts w:ascii="Arial" w:hAnsi="Arial" w:cs="Arial"/>
                <w:sz w:val="18"/>
              </w:rPr>
              <w:t xml:space="preserve">31244 – &lt;1&gt; – 31253, </w:t>
            </w:r>
          </w:p>
          <w:p>
            <w:pPr>
              <w:pStyle w:val="52"/>
            </w:pPr>
            <w:r>
              <w:rPr>
                <w:rFonts w:cs="Arial"/>
              </w:rPr>
              <w:t>41637</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t>n106</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31317 – &lt;1&gt; – 31329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n110</w:t>
            </w:r>
          </w:p>
        </w:tc>
        <w:tc>
          <w:tcPr>
            <w:tcW w:w="2092" w:type="dxa"/>
            <w:tcBorders>
              <w:top w:val="single" w:color="auto" w:sz="4" w:space="0"/>
              <w:left w:val="single" w:color="auto" w:sz="4" w:space="0"/>
              <w:bottom w:val="single" w:color="auto" w:sz="4" w:space="0"/>
              <w:right w:val="single" w:color="auto" w:sz="4" w:space="0"/>
            </w:tcBorders>
          </w:tcPr>
          <w:p>
            <w:pPr>
              <w:pStyle w:val="52"/>
            </w:pPr>
            <w:r>
              <w:t>15 kHz</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2"/>
            </w:pPr>
            <w:r>
              <w:t>3</w:t>
            </w:r>
            <w:r>
              <w:rPr>
                <w:rFonts w:hint="eastAsia"/>
                <w:lang w:eastAsia="ja-JP"/>
              </w:rPr>
              <w:t>3802</w:t>
            </w:r>
            <w:r>
              <w:t xml:space="preserve"> – &lt;1&gt; – 3</w:t>
            </w:r>
            <w:r>
              <w:rPr>
                <w:rFonts w:hint="eastAsia"/>
                <w:lang w:eastAsia="ja-JP"/>
              </w:rPr>
              <w:t>380</w:t>
            </w: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6"/>
            </w:pPr>
            <w:r>
              <w:t>NOTE 1:</w:t>
            </w:r>
            <w:r>
              <w:tab/>
            </w:r>
            <w:r>
              <w:t>SS Block pattern is defined in clause 4.1 in TS 38.213 [9].</w:t>
            </w:r>
          </w:p>
          <w:p>
            <w:pPr>
              <w:pStyle w:val="66"/>
            </w:pPr>
            <w:r>
              <w:t>NOTE 2:</w:t>
            </w:r>
            <w:r>
              <w:tab/>
            </w:r>
            <w:r>
              <w:rPr>
                <w:bCs/>
                <w:lang w:eastAsia="zh-CN"/>
              </w:rPr>
              <w:t>Only</w:t>
            </w:r>
            <w:r>
              <w:rPr>
                <w:bCs/>
              </w:rPr>
              <w:t xml:space="preserve"> applicable for </w:t>
            </w:r>
            <w:r>
              <w:rPr>
                <w:bCs/>
                <w:lang w:eastAsia="zh-CN"/>
              </w:rPr>
              <w:t>12 PRB transmission bandwidth configuration within 3 MHz channel with punctured PBCH defined in TS 38.211 [8] clause 7.4.3.1.</w:t>
            </w:r>
          </w:p>
        </w:tc>
      </w:tr>
    </w:tbl>
    <w:p/>
    <w:p>
      <w:pPr>
        <w:pStyle w:val="4"/>
      </w:pPr>
      <w:bookmarkStart w:id="136" w:name="_Toc27477770"/>
      <w:bookmarkStart w:id="137" w:name="_Toc36226449"/>
      <w:bookmarkStart w:id="138" w:name="_Toc44323704"/>
      <w:bookmarkStart w:id="139" w:name="_Toc69305864"/>
      <w:bookmarkStart w:id="140" w:name="_Toc52989855"/>
      <w:bookmarkStart w:id="141" w:name="_Toc60824967"/>
      <w:bookmarkStart w:id="142" w:name="_Toc90916551"/>
      <w:bookmarkStart w:id="143" w:name="_Toc76020030"/>
      <w:bookmarkStart w:id="144" w:name="_Toc60823044"/>
      <w:bookmarkStart w:id="145" w:name="_Toc83720500"/>
      <w:bookmarkStart w:id="146" w:name="_Toc69309719"/>
      <w:bookmarkStart w:id="147" w:name="_Toc90916354"/>
      <w:bookmarkStart w:id="148" w:name="_Toc90917307"/>
      <w:r>
        <w:t>5.4.4</w:t>
      </w:r>
      <w:r>
        <w:tab/>
      </w:r>
      <w:r>
        <w:t>TX–RX frequency separation</w:t>
      </w:r>
      <w:bookmarkEnd w:id="136"/>
      <w:bookmarkEnd w:id="137"/>
      <w:bookmarkEnd w:id="138"/>
      <w:bookmarkEnd w:id="139"/>
      <w:bookmarkEnd w:id="140"/>
      <w:bookmarkEnd w:id="141"/>
      <w:bookmarkEnd w:id="142"/>
      <w:bookmarkEnd w:id="143"/>
      <w:bookmarkEnd w:id="144"/>
      <w:bookmarkEnd w:id="145"/>
      <w:bookmarkEnd w:id="146"/>
      <w:bookmarkEnd w:id="147"/>
      <w:bookmarkEnd w:id="148"/>
    </w:p>
    <w:p>
      <w:r>
        <w:t>The default TX channel (carrier centre frequency) to RX channel (carrier centre frequency) separation for operating bands is specified in Table 5.4.4-1.</w:t>
      </w:r>
    </w:p>
    <w:p>
      <w:pPr>
        <w:pStyle w:val="55"/>
      </w:pPr>
      <w:r>
        <w:t>Table 5.4.4-1: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1"/>
              <w:keepNext w:val="0"/>
              <w:keepLines w:val="0"/>
              <w:widowControl w:val="0"/>
            </w:pPr>
            <w:r>
              <w:t>NR Operating Band</w:t>
            </w:r>
          </w:p>
        </w:tc>
        <w:tc>
          <w:tcPr>
            <w:tcW w:w="2693" w:type="dxa"/>
          </w:tcPr>
          <w:p>
            <w:pPr>
              <w:pStyle w:val="51"/>
              <w:keepNext w:val="0"/>
              <w:keepLines w:val="0"/>
              <w:widowControl w:val="0"/>
            </w:pPr>
            <w:r>
              <w:t xml:space="preserve">TX </w:t>
            </w:r>
            <w:r>
              <w:rPr>
                <w:rFonts w:cs="v5.0.0"/>
              </w:rPr>
              <w:t>–</w:t>
            </w:r>
            <w:r>
              <w:t xml:space="preserve"> RX </w:t>
            </w:r>
            <w:r>
              <w:br w:type="textWrapping"/>
            </w:r>
            <w:r>
              <w:t>carrier centre frequency</w:t>
            </w:r>
            <w:r>
              <w:br w:type="textWrapping"/>
            </w:r>
            <w: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n12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n14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n24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n25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n26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n30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n31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n65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300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n71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n72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lang w:eastAsia="zh-CN"/>
              </w:rPr>
              <w:t>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n74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cs="Arial"/>
                <w:szCs w:val="18"/>
                <w:lang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 w:author="China Unicom" w:date="2025-11-07T17:06:36Z"/>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234" w:author="China Unicom" w:date="2025-11-07T17:06:36Z"/>
                <w:rFonts w:eastAsia="宋体"/>
                <w:lang w:eastAsia="zh-CN"/>
              </w:rPr>
            </w:pPr>
            <w:ins w:id="235" w:author="China Unicom" w:date="2025-11-07T17:06:36Z">
              <w:r>
                <w:rPr>
                  <w:rFonts w:hint="eastAsia" w:eastAsia="等线" w:cs="Arial"/>
                  <w:szCs w:val="18"/>
                  <w:lang w:val="en-US" w:eastAsia="zh-CN"/>
                </w:rPr>
                <w:t>n87</w:t>
              </w:r>
            </w:ins>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236" w:author="China Unicom" w:date="2025-11-07T17:06:36Z"/>
                <w:rFonts w:cs="Arial"/>
                <w:szCs w:val="18"/>
                <w:lang w:eastAsia="zh-CN"/>
              </w:rPr>
            </w:pPr>
            <w:ins w:id="237" w:author="China Unicom" w:date="2025-11-07T17:06:36Z">
              <w:r>
                <w:rPr>
                  <w:rFonts w:hint="eastAsia" w:eastAsia="等线" w:cs="Arial"/>
                  <w:szCs w:val="18"/>
                  <w:lang w:val="en-US" w:eastAsia="zh-CN"/>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 w:author="China Unicom" w:date="2025-11-07T17:06:36Z"/>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239" w:author="China Unicom" w:date="2025-11-07T17:06:36Z"/>
                <w:rFonts w:eastAsia="宋体"/>
                <w:lang w:eastAsia="zh-CN"/>
              </w:rPr>
            </w:pPr>
            <w:ins w:id="240" w:author="China Unicom" w:date="2025-11-07T17:06:36Z">
              <w:r>
                <w:rPr>
                  <w:rFonts w:hint="eastAsia" w:eastAsia="等线" w:cs="Arial"/>
                  <w:szCs w:val="18"/>
                  <w:lang w:val="en-US" w:eastAsia="zh-CN"/>
                </w:rPr>
                <w:t>n88</w:t>
              </w:r>
            </w:ins>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ins w:id="241" w:author="China Unicom" w:date="2025-11-07T17:06:36Z"/>
                <w:rFonts w:cs="Arial"/>
                <w:szCs w:val="18"/>
                <w:lang w:eastAsia="zh-CN"/>
              </w:rPr>
            </w:pPr>
            <w:ins w:id="242" w:author="China Unicom" w:date="2025-11-07T17:06:36Z">
              <w:r>
                <w:rPr>
                  <w:rFonts w:hint="eastAsia" w:eastAsia="等线" w:cs="Arial"/>
                  <w:szCs w:val="18"/>
                  <w:lang w:val="en-US" w:eastAsia="zh-CN"/>
                </w:rPr>
                <w:t>10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bookmarkStart w:id="149" w:name="_GoBack"/>
            <w:bookmarkEnd w:id="149"/>
            <w:r>
              <w:rPr>
                <w:rFonts w:eastAsia="宋体"/>
                <w:lang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570 MHz – 595 MHz</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575 MHz – 680 MHz (</w:t>
            </w:r>
            <w:r>
              <w:rPr>
                <w:i/>
                <w:lang w:eastAsia="zh-CN"/>
              </w:rPr>
              <w:t>μ</w:t>
            </w:r>
            <w:r>
              <w:rPr>
                <w:lang w:eastAsia="zh-CN"/>
              </w:rPr>
              <w:t xml:space="preserve"> = 0)</w:t>
            </w:r>
          </w:p>
          <w:p>
            <w:pPr>
              <w:pStyle w:val="52"/>
              <w:keepNext w:val="0"/>
              <w:keepLines w:val="0"/>
              <w:widowControl w:val="0"/>
              <w:rPr>
                <w:lang w:eastAsia="zh-CN"/>
              </w:rPr>
            </w:pPr>
            <w:r>
              <w:rPr>
                <w:lang w:eastAsia="zh-CN"/>
              </w:rPr>
              <w:t>580 MHz – 675 MHz (</w:t>
            </w:r>
            <w:r>
              <w:rPr>
                <w:i/>
                <w:lang w:eastAsia="zh-CN"/>
              </w:rPr>
              <w:t>μ</w:t>
            </w:r>
            <w:r>
              <w:rPr>
                <w:lang w:eastAsia="zh-CN"/>
              </w:rPr>
              <w:t xml:space="preserve"> = 1)</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517 MHz – 547 MHz</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pPr>
            <w:r>
              <w:rPr>
                <w:rFonts w:eastAsia="宋体"/>
                <w:lang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522 MHz – 632 MHz (</w:t>
            </w:r>
            <w:r>
              <w:rPr>
                <w:i/>
                <w:lang w:eastAsia="zh-CN"/>
              </w:rPr>
              <w:t>μ</w:t>
            </w:r>
            <w:r>
              <w:rPr>
                <w:lang w:eastAsia="zh-CN"/>
              </w:rPr>
              <w:t xml:space="preserve"> = 0)</w:t>
            </w:r>
          </w:p>
          <w:p>
            <w:pPr>
              <w:pStyle w:val="52"/>
              <w:keepNext w:val="0"/>
              <w:keepLines w:val="0"/>
              <w:widowControl w:val="0"/>
              <w:rPr>
                <w:lang w:eastAsia="zh-CN"/>
              </w:rPr>
            </w:pPr>
            <w:r>
              <w:rPr>
                <w:lang w:eastAsia="zh-CN"/>
              </w:rPr>
              <w:t>527 MHz – 627 MHz (</w:t>
            </w:r>
            <w:r>
              <w:rPr>
                <w:i/>
                <w:lang w:eastAsia="zh-CN"/>
              </w:rPr>
              <w:t>μ</w:t>
            </w:r>
            <w:r>
              <w:rPr>
                <w:lang w:eastAsia="zh-CN"/>
              </w:rPr>
              <w:t xml:space="preserve"> = 1)</w:t>
            </w:r>
          </w:p>
          <w:p>
            <w:pPr>
              <w:pStyle w:val="52"/>
              <w:keepNext w:val="0"/>
              <w:keepLines w:val="0"/>
              <w:widowControl w:val="0"/>
            </w:pPr>
            <w:r>
              <w:rPr>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rFonts w:eastAsia="宋体"/>
                <w:lang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rFonts w:eastAsia="宋体"/>
                <w:lang w:eastAsia="zh-CN"/>
              </w:rPr>
              <w:t>n105</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rFonts w:eastAsia="宋体"/>
                <w:lang w:eastAsia="zh-CN"/>
              </w:rPr>
            </w:pPr>
            <w:r>
              <w:rPr>
                <w:lang w:eastAsia="zh-CN"/>
              </w:rPr>
              <w:t>n106</w:t>
            </w:r>
          </w:p>
        </w:tc>
        <w:tc>
          <w:tcPr>
            <w:tcW w:w="2693"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39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lang w:eastAsia="zh-CN"/>
              </w:rPr>
              <w:t>n109</w:t>
            </w:r>
          </w:p>
        </w:tc>
        <w:tc>
          <w:tcPr>
            <w:tcW w:w="2693"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rFonts w:cs="Arial"/>
                <w:lang w:eastAsia="zh-CN"/>
              </w:rPr>
              <w:t>704 MHz - 809 MHz (</w:t>
            </w:r>
            <w:r>
              <w:rPr>
                <w:rFonts w:cs="Arial"/>
                <w:i/>
                <w:lang w:eastAsia="zh-CN"/>
              </w:rPr>
              <w:t>μ</w:t>
            </w:r>
            <w:r>
              <w:rPr>
                <w:rFonts w:cs="Arial"/>
                <w:lang w:eastAsia="zh-CN"/>
              </w:rPr>
              <w:t xml:space="preserve"> = 0)</w:t>
            </w:r>
          </w:p>
          <w:p>
            <w:pPr>
              <w:pStyle w:val="52"/>
              <w:rPr>
                <w:rFonts w:cs="Arial"/>
                <w:lang w:eastAsia="zh-CN"/>
              </w:rPr>
            </w:pPr>
            <w:r>
              <w:rPr>
                <w:rFonts w:cs="Arial"/>
                <w:lang w:eastAsia="zh-CN"/>
              </w:rPr>
              <w:t>709 MHz - 804 MHz (</w:t>
            </w:r>
            <w:r>
              <w:rPr>
                <w:rFonts w:cs="Arial"/>
                <w:i/>
                <w:lang w:eastAsia="zh-CN"/>
              </w:rPr>
              <w:t>μ</w:t>
            </w:r>
            <w:r>
              <w:rPr>
                <w:rFonts w:cs="Arial"/>
                <w:lang w:eastAsia="zh-CN"/>
              </w:rPr>
              <w:t xml:space="preserve"> = 1)</w:t>
            </w:r>
          </w:p>
          <w:p>
            <w:pPr>
              <w:pStyle w:val="52"/>
              <w:rPr>
                <w:rFonts w:cs="Arial"/>
                <w:lang w:eastAsia="zh-CN"/>
              </w:rPr>
            </w:pPr>
            <w:r>
              <w:rPr>
                <w:rFonts w:cs="Arial"/>
                <w:lang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52"/>
              <w:keepNext w:val="0"/>
              <w:keepLines w:val="0"/>
              <w:widowControl w:val="0"/>
              <w:rPr>
                <w:lang w:eastAsia="zh-CN"/>
              </w:rPr>
            </w:pPr>
            <w:r>
              <w:rPr>
                <w:rFonts w:hint="eastAsia"/>
                <w:lang w:val="en-US" w:eastAsia="zh-CN"/>
              </w:rPr>
              <w:t>n110</w:t>
            </w:r>
          </w:p>
        </w:tc>
        <w:tc>
          <w:tcPr>
            <w:tcW w:w="2693"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val="en-US" w:eastAsia="zh-CN"/>
              </w:rPr>
              <w:t>40 MHz, 42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66"/>
              <w:keepNext w:val="0"/>
              <w:keepLines w:val="0"/>
              <w:widowControl w:val="0"/>
            </w:pPr>
            <w:r>
              <w:t>NOTE 1:</w:t>
            </w:r>
            <w:r>
              <w:tab/>
            </w:r>
            <w:r>
              <w:t>Default TX-RX carrier centre frequency separation.</w:t>
            </w:r>
          </w:p>
          <w:p>
            <w:pPr>
              <w:pStyle w:val="66"/>
              <w:keepNext w:val="0"/>
              <w:keepLines w:val="0"/>
              <w:widowControl w:val="0"/>
            </w:pPr>
            <w:r>
              <w:t>NOTE 2:</w:t>
            </w:r>
            <w:r>
              <w:tab/>
            </w:r>
            <w:r>
              <w:t xml:space="preserve">The range of TX-RX frequency separation given paired UL and DL channel bandwidths </w:t>
            </w:r>
            <w:r>
              <w:rPr>
                <w:lang w:eastAsia="zh-CN"/>
              </w:rPr>
              <w:t>BW</w:t>
            </w:r>
            <w:r>
              <w:rPr>
                <w:vertAlign w:val="subscript"/>
                <w:lang w:eastAsia="zh-CN"/>
              </w:rPr>
              <w:t>UL</w:t>
            </w:r>
            <w:r>
              <w:t xml:space="preserve"> and </w:t>
            </w:r>
            <w:r>
              <w:rPr>
                <w:lang w:eastAsia="zh-CN"/>
              </w:rPr>
              <w:t>BW</w:t>
            </w:r>
            <w:r>
              <w:rPr>
                <w:vertAlign w:val="subscript"/>
                <w:lang w:eastAsia="zh-CN"/>
              </w:rPr>
              <w:t>DL</w:t>
            </w:r>
            <w:r>
              <w:t xml:space="preserve"> is given by the respective lower and upper limit F</w:t>
            </w:r>
            <w:r>
              <w:rPr>
                <w:vertAlign w:val="subscript"/>
              </w:rPr>
              <w:t>DL_low</w:t>
            </w:r>
            <w:r>
              <w:t xml:space="preserve"> </w:t>
            </w:r>
            <w:r>
              <w:rPr>
                <w:rFonts w:cs="Arial"/>
                <w:szCs w:val="18"/>
                <w:lang w:eastAsia="zh-CN"/>
              </w:rPr>
              <w:t xml:space="preserve">– </w:t>
            </w:r>
            <w:r>
              <w:t>F</w:t>
            </w:r>
            <w:r>
              <w:rPr>
                <w:vertAlign w:val="subscript"/>
              </w:rPr>
              <w:t>UL_high</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and F</w:t>
            </w:r>
            <w:r>
              <w:rPr>
                <w:vertAlign w:val="subscript"/>
              </w:rPr>
              <w:t>DL_high</w:t>
            </w:r>
            <w:r>
              <w:t xml:space="preserve"> </w:t>
            </w:r>
            <w:r>
              <w:rPr>
                <w:rFonts w:cs="Arial"/>
                <w:szCs w:val="18"/>
                <w:lang w:eastAsia="zh-CN"/>
              </w:rPr>
              <w:t xml:space="preserve">– </w:t>
            </w:r>
            <w:r>
              <w:t>F</w:t>
            </w:r>
            <w:r>
              <w:rPr>
                <w:vertAlign w:val="subscript"/>
              </w:rPr>
              <w:t>UL_low</w:t>
            </w:r>
            <w:r>
              <w:t xml:space="preserve"> </w:t>
            </w:r>
            <w:r>
              <w:rPr>
                <w:rFonts w:cs="Arial"/>
                <w:szCs w:val="18"/>
                <w:lang w:eastAsia="zh-CN"/>
              </w:rPr>
              <w:t>–</w:t>
            </w:r>
            <w:r>
              <w:t xml:space="preserve"> 0.5(</w:t>
            </w:r>
            <w:r>
              <w:rPr>
                <w:lang w:eastAsia="zh-CN"/>
              </w:rPr>
              <w:t>BW</w:t>
            </w:r>
            <w:r>
              <w:rPr>
                <w:vertAlign w:val="subscript"/>
                <w:lang w:eastAsia="zh-CN"/>
              </w:rPr>
              <w:t>DL</w:t>
            </w:r>
            <w:r>
              <w:t xml:space="preserve"> + </w:t>
            </w:r>
            <w:r>
              <w:rPr>
                <w:lang w:eastAsia="zh-CN"/>
              </w:rPr>
              <w:t>BW</w:t>
            </w:r>
            <w:r>
              <w:rPr>
                <w:vertAlign w:val="subscript"/>
                <w:lang w:eastAsia="zh-CN"/>
              </w:rPr>
              <w:t>UL</w:t>
            </w:r>
            <w:r>
              <w:t xml:space="preserve">). The UL and DL channel bandwidth combinations specified in Table 5.3.5-1 and 5.3.6-1 depend on the subcarrier spacing configuration </w:t>
            </w:r>
            <w:r>
              <w:rPr>
                <w:rFonts w:cs="Arial"/>
                <w:i/>
                <w:szCs w:val="18"/>
                <w:lang w:eastAsia="zh-CN"/>
              </w:rPr>
              <w:t>μ</w:t>
            </w:r>
            <w:r>
              <w:t xml:space="preserve"> [6].</w:t>
            </w:r>
          </w:p>
        </w:tc>
      </w:tr>
    </w:tbl>
    <w:p/>
    <w:p>
      <w:pPr>
        <w:rPr>
          <w:rFonts w:eastAsia="等线"/>
        </w:rPr>
      </w:pPr>
    </w:p>
    <w:p>
      <w:pPr>
        <w:pStyle w:val="83"/>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 w:val="154B60F7"/>
    <w:rsid w:val="34111C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nhideWhenUsed="0" w:uiPriority="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iPriority w:val="0"/>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basedOn w:val="43"/>
    <w:semiHidden/>
    <w:qFormat/>
    <w:uiPriority w:val="0"/>
    <w:rPr>
      <w:b/>
      <w:position w:val="6"/>
      <w:sz w:val="16"/>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4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0">
    <w:name w:val="NW"/>
    <w:basedOn w:val="56"/>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384</Words>
  <Characters>2357</Characters>
  <Lines>235</Lines>
  <Paragraphs>105</Paragraphs>
  <TotalTime>0</TotalTime>
  <ScaleCrop>false</ScaleCrop>
  <LinksUpToDate>false</LinksUpToDate>
  <CharactersWithSpaces>2636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2025-10-24T13:14:00Z</dcterms:created>
  <dc:creator>Michael Sanders, John M Meredith</dc:creator>
  <cp:lastModifiedBy>China Unicom</cp:lastModifiedBy>
  <cp:lastPrinted>2411-12-31T23:00:00Z</cp:lastPrinted>
  <dcterms:modified xsi:type="dcterms:W3CDTF">2025-11-07T09:06:42Z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R5-255911</vt:lpwstr>
  </property>
  <property fmtid="{D5CDD505-2E9C-101B-9397-08002B2CF9AE}" pid="10" name="Spec#">
    <vt:lpwstr>38.521-1</vt:lpwstr>
  </property>
  <property fmtid="{D5CDD505-2E9C-101B-9397-08002B2CF9AE}" pid="11" name="Cr#">
    <vt:lpwstr>3555</vt:lpwstr>
  </property>
  <property fmtid="{D5CDD505-2E9C-101B-9397-08002B2CF9AE}" pid="12" name="Revision">
    <vt:lpwstr>-</vt:lpwstr>
  </property>
  <property fmtid="{D5CDD505-2E9C-101B-9397-08002B2CF9AE}" pid="13" name="Version">
    <vt:lpwstr>19.2.0</vt:lpwstr>
  </property>
  <property fmtid="{D5CDD505-2E9C-101B-9397-08002B2CF9AE}" pid="14" name="CrTitle">
    <vt:lpwstr>General updates of clause 5 for R19 new CBW configurations</vt:lpwstr>
  </property>
  <property fmtid="{D5CDD505-2E9C-101B-9397-08002B2CF9AE}" pid="15" name="SourceIfWg">
    <vt:lpwstr>China Unicom, Nokia</vt:lpwstr>
  </property>
  <property fmtid="{D5CDD505-2E9C-101B-9397-08002B2CF9AE}" pid="16" name="SourceIfTsg">
    <vt:lpwstr/>
  </property>
  <property fmtid="{D5CDD505-2E9C-101B-9397-08002B2CF9AE}" pid="17" name="RelatedWis">
    <vt:lpwstr>NR_lic_bands_BW_R19-UEConTest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35EFB6498EAE41E98E33B69B382D42B5</vt:lpwstr>
  </property>
</Properties>
</file>